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60" w:before="100"/>
      </w:pPr>
      <w:r>
        <w:rPr>
          <w:rFonts w:ascii="Calibri" w:cs="Calibri" w:eastAsia="Calibri" w:hAnsi="Calibri"/>
          <w:b/>
          <w:bCs/>
          <w:color w:val="2E74B5"/>
          <w:sz w:val="22"/>
          <w:szCs w:val="22"/>
        </w:rPr>
        <w:t xml:space="preserve">BUSINESS RESILIENCE PULSE CHECK</w:t>
      </w:r>
    </w:p>
    <w:p>
      <w:pPr>
        <w:spacing w:after="200"/>
      </w:pPr>
      <w:r>
        <w:rPr>
          <w:rFonts w:ascii="Calibri" w:cs="Calibri" w:eastAsia="Calibri" w:hAnsi="Calibri"/>
          <w:b/>
          <w:bCs/>
          <w:color w:val="595959"/>
          <w:sz w:val="20"/>
          <w:szCs w:val="20"/>
        </w:rPr>
        <w:t xml:space="preserve">PC-102</w:t>
      </w:r>
    </w:p>
    <w:p>
      <w:pPr>
        <w:spacing w:after="120"/>
      </w:pPr>
      <w:r>
        <w:rPr>
          <w:rFonts w:ascii="Calibri" w:cs="Calibri" w:eastAsia="Calibri" w:hAnsi="Calibri"/>
          <w:b/>
          <w:bCs/>
          <w:color w:val="1F3864"/>
          <w:sz w:val="52"/>
          <w:szCs w:val="52"/>
        </w:rPr>
        <w:t xml:space="preserve">Sample Findings Library</w:t>
      </w:r>
    </w:p>
    <w:p>
      <w:pPr>
        <w:spacing w:after="100"/>
      </w:pPr>
      <w:r>
        <w:rPr>
          <w:rFonts w:ascii="Calibri" w:cs="Calibri" w:eastAsia="Calibri" w:hAnsi="Calibri"/>
          <w:color w:val="595959"/>
          <w:sz w:val="24"/>
          <w:szCs w:val="24"/>
        </w:rPr>
        <w:t xml:space="preserve">Worked examples of well-written findings across scenario types and severity levels</w:t>
      </w:r>
    </w:p>
    <w:p>
      <w:pPr>
        <w:pBdr>
          <w:bottom w:val="single" w:color="2E74B5" w:sz="8" w:space="6"/>
        </w:pBdr>
        <w:spacing w:after="80"/>
      </w:pPr>
      <w:r>
        <w:rPr>
          <w:rFonts w:ascii="Calibri" w:cs="Calibri" w:eastAsia="Calibri" w:hAnsi="Calibri"/>
          <w:color w:val="595959"/>
          <w:sz w:val="20"/>
          <w:szCs w:val="20"/>
        </w:rPr>
        <w:t xml:space="preserve">Calibration Reference  |  Version 1.0  |  July 2026</w:t>
      </w:r>
    </w:p>
    <w:p>
      <w:pPr>
        <w:spacing w:after="160"/>
      </w:pPr>
    </w:p>
    <w:p>
      <w:pPr>
        <w:pStyle w:val="Heading1"/>
        <w:keepNext/>
        <w:spacing w:after="140" w:before="320"/>
      </w:pPr>
      <w:r>
        <w:rPr>
          <w:rFonts w:ascii="Calibri" w:cs="Calibri" w:eastAsia="Calibri" w:hAnsi="Calibri"/>
          <w:b/>
          <w:bCs/>
          <w:color w:val="1F3864"/>
          <w:sz w:val="30"/>
          <w:szCs w:val="30"/>
        </w:rPr>
        <w:t xml:space="preserve">Purpose and How to Use This Library</w:t>
      </w:r>
    </w:p>
    <w:p>
      <w:pPr>
        <w:spacing w:after="120" w:before="0" w:line="276"/>
      </w:pPr>
      <w:r>
        <w:rPr>
          <w:rFonts w:ascii="Calibri" w:cs="Calibri" w:eastAsia="Calibri" w:hAnsi="Calibri"/>
          <w:color w:val="404040"/>
          <w:sz w:val="21"/>
          <w:szCs w:val="21"/>
        </w:rPr>
        <w:t xml:space="preserve">This library provides fully worked examples of well-written findings and recommendations across the Pulse Check scenario types and severity levels. It answers the question every facilitator asks when writing their first AAR: what does a good finding actually look like?</w:t>
      </w:r>
    </w:p>
    <w:p>
      <w:pPr>
        <w:spacing w:after="120" w:before="0" w:line="276"/>
      </w:pPr>
      <w:r>
        <w:rPr>
          <w:rFonts w:ascii="Calibri" w:cs="Calibri" w:eastAsia="Calibri" w:hAnsi="Calibri"/>
          <w:color w:val="404040"/>
          <w:sz w:val="21"/>
          <w:szCs w:val="21"/>
        </w:rPr>
        <w:t xml:space="preserve">Each example demonstrates the four-part structure, Observation, Context and Risk Impact, Recommendation, Framework Mapping, with severity ratings calibrated to Severity and Finding Standards (this folder).</w:t>
      </w:r>
    </w:p>
    <w:tbl>
      <w:tblPr>
        <w:tblW w:type="dxa" w:w="9360"/>
        <w:tblBorders>
          <w:top w:val="none" w:color="FFFFFF" w:sz="0"/>
          <w:left w:val="none" w:color="FFFFFF" w:sz="0"/>
          <w:bottom w:val="none" w:color="FFFFFF" w:sz="0"/>
          <w:right w:val="none" w:color="FFFFFF" w:sz="0"/>
          <w:insideH w:val="none" w:color="FFFFFF" w:sz="0"/>
          <w:insideV w:val="none" w:color="FFFFFF" w:sz="0"/>
        </w:tblBorders>
      </w:tblPr>
      <w:tblGrid>
        <w:gridCol w:w="9360"/>
      </w:tblGrid>
      <w:tr>
        <w:tc>
          <w:tcPr>
            <w:tcW w:type="dxa" w:w="9360"/>
            <w:tcBorders>
              <w:top w:val="none" w:color="FFFFFF" w:sz="0"/>
              <w:left w:val="single" w:color="538135" w:sz="24"/>
              <w:bottom w:val="none" w:color="FFFFFF" w:sz="0"/>
              <w:right w:val="none" w:color="FFFFFF" w:sz="0"/>
            </w:tcBorders>
            <w:shd w:fill="E2EFDA" w:val="clear"/>
            <w:tcMar>
              <w:top w:type="dxa" w:w="100"/>
              <w:left w:type="dxa" w:w="160"/>
              <w:bottom w:type="dxa" w:w="100"/>
              <w:right w:type="dxa" w:w="160"/>
            </w:tcMar>
          </w:tcPr>
          <w:p>
            <w:pPr>
              <w:spacing w:after="60"/>
            </w:pPr>
            <w:r>
              <w:rPr>
                <w:rFonts w:ascii="Calibri" w:cs="Calibri" w:eastAsia="Calibri" w:hAnsi="Calibri"/>
                <w:b/>
                <w:bCs/>
                <w:color w:val="538135"/>
                <w:sz w:val="20"/>
                <w:szCs w:val="20"/>
              </w:rPr>
              <w:t xml:space="preserve">✓  QUALITY STANDARD: This Is Not a Template to Copy</w:t>
            </w:r>
          </w:p>
          <w:p>
            <w:pPr>
              <w:spacing w:after="40" w:before="0" w:line="276"/>
            </w:pPr>
            <w:r>
              <w:rPr>
                <w:rFonts w:ascii="Calibri" w:cs="Calibri" w:eastAsia="Calibri" w:hAnsi="Calibri"/>
                <w:color w:val="404040"/>
                <w:sz w:val="20"/>
                <w:szCs w:val="20"/>
              </w:rPr>
              <w:t xml:space="preserve">Every finding in a real AAR must reference specific observations from the specific exercise for the specific client. A facilitator who copies a finding from this library into a client AAR has violated the most fundamental quality standard in the program. Before writing a finding, read 3–4 examples at the severity level you are about to assign, note the language register and specificity, then write your finding from scratch.</w:t>
            </w:r>
          </w:p>
        </w:tc>
      </w:tr>
    </w:tbl>
    <w:tbl>
      <w:tblPr>
        <w:tblW w:type="dxa" w:w="9360"/>
        <w:tblBorders>
          <w:top w:val="single" w:color="BFBFBF" w:sz="4"/>
          <w:left w:val="single" w:color="BFBFBF" w:sz="4"/>
          <w:bottom w:val="single" w:color="BFBFBF" w:sz="4"/>
          <w:right w:val="single" w:color="BFBFBF" w:sz="4"/>
          <w:insideH w:val="single" w:color="BFBFBF" w:sz="4"/>
          <w:insideV w:val="single" w:color="BFBFBF" w:sz="4"/>
        </w:tblBorders>
      </w:tblPr>
      <w:tblGrid>
        <w:gridCol w:w="1300"/>
        <w:gridCol w:w="5060"/>
        <w:gridCol w:w="3000"/>
      </w:tblGrid>
      <w:tr>
        <w:trPr>
          <w:tblHeader/>
        </w:trPr>
        <w:tc>
          <w:tcPr>
            <w:tcW w:type="dxa" w:w="130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Section</w:t>
            </w:r>
          </w:p>
        </w:tc>
        <w:tc>
          <w:tcPr>
            <w:tcW w:type="dxa" w:w="506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Scenario Type</w:t>
            </w:r>
          </w:p>
        </w:tc>
        <w:tc>
          <w:tcPr>
            <w:tcW w:type="dxa" w:w="300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Examples</w:t>
            </w:r>
          </w:p>
        </w:tc>
      </w:tr>
      <w:tr>
        <w:tc>
          <w:tcPr>
            <w:tcW w:type="dxa" w:w="13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1</w:t>
            </w:r>
          </w:p>
        </w:tc>
        <w:tc>
          <w:tcPr>
            <w:tcW w:type="dxa" w:w="50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Ransomware / Major Cyber Incident</w:t>
            </w:r>
          </w:p>
        </w:tc>
        <w:tc>
          <w:tcPr>
            <w:tcW w:type="dxa" w:w="30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5 (one per severity level)</w:t>
            </w:r>
          </w:p>
        </w:tc>
      </w:tr>
      <w:tr>
        <w:tc>
          <w:tcPr>
            <w:tcW w:type="dxa" w:w="13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2</w:t>
            </w:r>
          </w:p>
        </w:tc>
        <w:tc>
          <w:tcPr>
            <w:tcW w:type="dxa" w:w="50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Data Breach with Notification</w:t>
            </w:r>
          </w:p>
        </w:tc>
        <w:tc>
          <w:tcPr>
            <w:tcW w:type="dxa" w:w="30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4</w:t>
            </w:r>
          </w:p>
        </w:tc>
      </w:tr>
      <w:tr>
        <w:tc>
          <w:tcPr>
            <w:tcW w:type="dxa" w:w="13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3</w:t>
            </w:r>
          </w:p>
        </w:tc>
        <w:tc>
          <w:tcPr>
            <w:tcW w:type="dxa" w:w="50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Vendor and Supply Chain</w:t>
            </w:r>
          </w:p>
        </w:tc>
        <w:tc>
          <w:tcPr>
            <w:tcW w:type="dxa" w:w="30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5</w:t>
            </w:r>
          </w:p>
        </w:tc>
      </w:tr>
      <w:tr>
        <w:tc>
          <w:tcPr>
            <w:tcW w:type="dxa" w:w="13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4</w:t>
            </w:r>
          </w:p>
        </w:tc>
        <w:tc>
          <w:tcPr>
            <w:tcW w:type="dxa" w:w="50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Key Person Loss / Succession</w:t>
            </w:r>
          </w:p>
        </w:tc>
        <w:tc>
          <w:tcPr>
            <w:tcW w:type="dxa" w:w="30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4</w:t>
            </w:r>
          </w:p>
        </w:tc>
      </w:tr>
      <w:tr>
        <w:tc>
          <w:tcPr>
            <w:tcW w:type="dxa" w:w="13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5</w:t>
            </w:r>
          </w:p>
        </w:tc>
        <w:tc>
          <w:tcPr>
            <w:tcW w:type="dxa" w:w="50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Natural Disaster / Facility Loss</w:t>
            </w:r>
          </w:p>
        </w:tc>
        <w:tc>
          <w:tcPr>
            <w:tcW w:type="dxa" w:w="30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3</w:t>
            </w:r>
          </w:p>
        </w:tc>
      </w:tr>
      <w:tr>
        <w:tc>
          <w:tcPr>
            <w:tcW w:type="dxa" w:w="13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6</w:t>
            </w:r>
          </w:p>
        </w:tc>
        <w:tc>
          <w:tcPr>
            <w:tcW w:type="dxa" w:w="50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Reputation Crisis</w:t>
            </w:r>
          </w:p>
        </w:tc>
        <w:tc>
          <w:tcPr>
            <w:tcW w:type="dxa" w:w="30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3</w:t>
            </w:r>
          </w:p>
        </w:tc>
      </w:tr>
      <w:tr>
        <w:tc>
          <w:tcPr>
            <w:tcW w:type="dxa" w:w="13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7</w:t>
            </w:r>
          </w:p>
        </w:tc>
        <w:tc>
          <w:tcPr>
            <w:tcW w:type="dxa" w:w="50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Cross-Cutting (any scenario)</w:t>
            </w:r>
          </w:p>
        </w:tc>
        <w:tc>
          <w:tcPr>
            <w:tcW w:type="dxa" w:w="30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6</w:t>
            </w:r>
          </w:p>
        </w:tc>
      </w:tr>
      <w:tr>
        <w:tc>
          <w:tcPr>
            <w:tcW w:type="dxa" w:w="13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8</w:t>
            </w:r>
          </w:p>
        </w:tc>
        <w:tc>
          <w:tcPr>
            <w:tcW w:type="dxa" w:w="50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Strength Findings</w:t>
            </w:r>
          </w:p>
        </w:tc>
        <w:tc>
          <w:tcPr>
            <w:tcW w:type="dxa" w:w="30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6</w:t>
            </w:r>
          </w:p>
        </w:tc>
      </w:tr>
    </w:tbl>
    <w:p>
      <w:pPr>
        <w:pStyle w:val="Heading1"/>
        <w:keepNext/>
        <w:spacing w:after="140" w:before="320"/>
      </w:pPr>
      <w:r>
        <w:rPr>
          <w:rFonts w:ascii="Calibri" w:cs="Calibri" w:eastAsia="Calibri" w:hAnsi="Calibri"/>
          <w:b/>
          <w:bCs/>
          <w:color w:val="1F3864"/>
          <w:sz w:val="30"/>
          <w:szCs w:val="30"/>
        </w:rPr>
        <w:t xml:space="preserve">1. Ransomware / Major Cyber Incident</w:t>
      </w:r>
    </w:p>
    <w:p>
      <w:pPr>
        <w:pStyle w:val="Heading3"/>
        <w:keepNext/>
        <w:spacing w:after="90" w:before="200"/>
      </w:pPr>
      <w:r>
        <w:rPr>
          <w:rFonts w:ascii="Calibri" w:cs="Calibri" w:eastAsia="Calibri" w:hAnsi="Calibri"/>
          <w:b/>
          <w:bCs/>
          <w:color w:val="1F3864"/>
          <w:sz w:val="22"/>
          <w:szCs w:val="22"/>
        </w:rPr>
        <w:t xml:space="preserve">CRITICAL  |  No Air-Gapped or Offline Backup Capability</w:t>
      </w:r>
    </w:p>
    <w:p>
      <w:pPr>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Observation.</w:t>
      </w:r>
      <w:r>
        <w:rPr>
          <w:rFonts w:ascii="Calibri" w:cs="Calibri" w:eastAsia="Calibri" w:hAnsi="Calibri"/>
          <w:color w:val="404040"/>
          <w:sz w:val="21"/>
          <w:szCs w:val="21"/>
        </w:rPr>
        <w:t xml:space="preserve"> The exercise revealed that all backup infrastructure, including the organization’s primary backup server and cloud-based backup repository, resides on the same network segment as production systems. No air-gapped, offline, or immutable backup copies exist for any critical system. Participants confirmed that backup credentials are stored in the same directory domain as production accounts.</w:t>
      </w:r>
    </w:p>
    <w:p>
      <w:pPr>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Context and Risk Impact.</w:t>
      </w:r>
      <w:r>
        <w:rPr>
          <w:rFonts w:ascii="Calibri" w:cs="Calibri" w:eastAsia="Calibri" w:hAnsi="Calibri"/>
          <w:color w:val="404040"/>
          <w:sz w:val="21"/>
          <w:szCs w:val="21"/>
        </w:rPr>
        <w:t xml:space="preserve"> A ransomware event affecting the production environment would simultaneously compromise all backup and recovery infrastructure. The organization would face a binary decision between paying the ransom demand and accepting permanent data loss. Insurance carriers increasingly scrutinize claims where backup isolation was absent, and regulatory notification obligations would be triggered with no ability to scope the affected data or demonstrate recovery capability.</w:t>
      </w:r>
    </w:p>
    <w:p>
      <w:pPr>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Recommendation.</w:t>
      </w:r>
      <w:r>
        <w:rPr>
          <w:rFonts w:ascii="Calibri" w:cs="Calibri" w:eastAsia="Calibri" w:hAnsi="Calibri"/>
          <w:color w:val="404040"/>
          <w:sz w:val="21"/>
          <w:szCs w:val="21"/>
        </w:rPr>
        <w:t xml:space="preserve"> Implement an air-gapped or immutable backup solution for all critical systems within 30 days. At minimum, configure one backup tier that cannot be modified or deleted by any account accessible from the production network. Validate restoration through a test recovery before relying on the new architecture. Engage the organization’s insurance carrier to confirm the revised architecture meets policy requirements.</w:t>
      </w:r>
    </w:p>
    <w:p>
      <w:pPr>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Framework Mapping.</w:t>
      </w:r>
      <w:r>
        <w:rPr>
          <w:rFonts w:ascii="Calibri" w:cs="Calibri" w:eastAsia="Calibri" w:hAnsi="Calibri"/>
          <w:color w:val="404040"/>
          <w:sz w:val="21"/>
          <w:szCs w:val="21"/>
        </w:rPr>
        <w:t xml:space="preserve"> NIST CSF 2.0: PR.DS-11 (Backups), RC.RP-01 (Recovery Plan Execution); HIPAA §164.308(a)(7) where applicable</w:t>
      </w:r>
    </w:p>
    <w:p>
      <w:pPr>
        <w:pStyle w:val="Heading3"/>
        <w:keepNext/>
        <w:spacing w:after="90" w:before="200"/>
      </w:pPr>
      <w:r>
        <w:rPr>
          <w:rFonts w:ascii="Calibri" w:cs="Calibri" w:eastAsia="Calibri" w:hAnsi="Calibri"/>
          <w:b/>
          <w:bCs/>
          <w:color w:val="1F3864"/>
          <w:sz w:val="22"/>
          <w:szCs w:val="22"/>
        </w:rPr>
        <w:t xml:space="preserve">HIGH  |  No Pre-Established Digital Forensics and Incident Response Retainer</w:t>
      </w:r>
    </w:p>
    <w:p>
      <w:pPr>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Observation.</w:t>
      </w:r>
      <w:r>
        <w:rPr>
          <w:rFonts w:ascii="Calibri" w:cs="Calibri" w:eastAsia="Calibri" w:hAnsi="Calibri"/>
          <w:color w:val="404040"/>
          <w:sz w:val="21"/>
          <w:szCs w:val="21"/>
        </w:rPr>
        <w:t xml:space="preserve"> The organization has no pre-established relationship with a digital forensics and incident response (DFIR) firm. When the scenario required forensic investigation to determine attack scope, participants spent approximately 20 minutes discussing how to find, vet, and engage a qualified provider. No selection criteria or pre-authorized budget exist.</w:t>
      </w:r>
    </w:p>
    <w:p>
      <w:pPr>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Context and Risk Impact.</w:t>
      </w:r>
      <w:r>
        <w:rPr>
          <w:rFonts w:ascii="Calibri" w:cs="Calibri" w:eastAsia="Calibri" w:hAnsi="Calibri"/>
          <w:color w:val="404040"/>
          <w:sz w:val="21"/>
          <w:szCs w:val="21"/>
        </w:rPr>
        <w:t xml:space="preserve"> Identifying, vetting, and engaging a qualified DFIR firm during an active ransomware event typically consumes 48–72 hours. During this period, forensic evidence degrades, containment decisions are made without expert guidance, and the ability to meet regulatory notification timelines with accurate scope information is compromised.</w:t>
      </w:r>
    </w:p>
    <w:p>
      <w:pPr>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Recommendation.</w:t>
      </w:r>
      <w:r>
        <w:rPr>
          <w:rFonts w:ascii="Calibri" w:cs="Calibri" w:eastAsia="Calibri" w:hAnsi="Calibri"/>
          <w:color w:val="404040"/>
          <w:sz w:val="21"/>
          <w:szCs w:val="21"/>
        </w:rPr>
        <w:t xml:space="preserve"> Establish a pre-negotiated DFIR retainer within 60 days, including defined response-time SLAs (target: 4-hour remote response), pre-authorized budget thresholds, and evidence preservation protocols. Introduce the firm to the internal IT team before an incident occurs.</w:t>
      </w:r>
    </w:p>
    <w:p>
      <w:pPr>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Framework Mapping.</w:t>
      </w:r>
      <w:r>
        <w:rPr>
          <w:rFonts w:ascii="Calibri" w:cs="Calibri" w:eastAsia="Calibri" w:hAnsi="Calibri"/>
          <w:color w:val="404040"/>
          <w:sz w:val="21"/>
          <w:szCs w:val="21"/>
        </w:rPr>
        <w:t xml:space="preserve"> NIST CSF 2.0: RS.MA-01 (Incident Management), DE.AE-06 (Analysis)</w:t>
      </w:r>
    </w:p>
    <w:p>
      <w:pPr>
        <w:pStyle w:val="Heading3"/>
        <w:keepNext/>
        <w:spacing w:after="90" w:before="200"/>
      </w:pPr>
      <w:r>
        <w:rPr>
          <w:rFonts w:ascii="Calibri" w:cs="Calibri" w:eastAsia="Calibri" w:hAnsi="Calibri"/>
          <w:b/>
          <w:bCs/>
          <w:color w:val="1F3864"/>
          <w:sz w:val="22"/>
          <w:szCs w:val="22"/>
        </w:rPr>
        <w:t xml:space="preserve">MEDIUM  |  No Pre-Approved External Communication Plan for Cyber Incidents</w:t>
      </w:r>
    </w:p>
    <w:p>
      <w:pPr>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Observation.</w:t>
      </w:r>
      <w:r>
        <w:rPr>
          <w:rFonts w:ascii="Calibri" w:cs="Calibri" w:eastAsia="Calibri" w:hAnsi="Calibri"/>
          <w:color w:val="404040"/>
          <w:sz w:val="21"/>
          <w:szCs w:val="21"/>
        </w:rPr>
        <w:t xml:space="preserve"> The organization has no pre-approved holding statements, designated spokesperson assignments, or escalation protocol for external communications during a cyber incident. During the media inquiry inject, participants debated for approximately 25 minutes about who should speak to the press and whether to acknowledge the incident publicly.</w:t>
      </w:r>
    </w:p>
    <w:p>
      <w:pPr>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Context and Risk Impact.</w:t>
      </w:r>
      <w:r>
        <w:rPr>
          <w:rFonts w:ascii="Calibri" w:cs="Calibri" w:eastAsia="Calibri" w:hAnsi="Calibri"/>
          <w:color w:val="404040"/>
          <w:sz w:val="21"/>
          <w:szCs w:val="21"/>
        </w:rPr>
        <w:t xml:space="preserve"> Delayed or inconsistent external communication during a ransomware event creates reputational exposure and may complicate regulatory interactions. Organizations that respond to media without a coordinated strategy risk statements that contradict subsequent forensic findings or create legal exposure. The 25-minute debate observed in exercise conditions would translate to a dangerous communication vacuum in a real incident.</w:t>
      </w:r>
    </w:p>
    <w:p>
      <w:pPr>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Recommendation.</w:t>
      </w:r>
      <w:r>
        <w:rPr>
          <w:rFonts w:ascii="Calibri" w:cs="Calibri" w:eastAsia="Calibri" w:hAnsi="Calibri"/>
          <w:color w:val="404040"/>
          <w:sz w:val="21"/>
          <w:szCs w:val="21"/>
        </w:rPr>
        <w:t xml:space="preserve"> Develop a cyber incident communication plan within 90 days: pre-drafted holding statements for common incident types, designated primary and backup spokespersons with media training, approval workflows with defined authorization levels, and stakeholder-specific messaging. Validate through a focused communication exercise.</w:t>
      </w:r>
    </w:p>
    <w:p>
      <w:pPr>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Framework Mapping.</w:t>
      </w:r>
      <w:r>
        <w:rPr>
          <w:rFonts w:ascii="Calibri" w:cs="Calibri" w:eastAsia="Calibri" w:hAnsi="Calibri"/>
          <w:color w:val="404040"/>
          <w:sz w:val="21"/>
          <w:szCs w:val="21"/>
        </w:rPr>
        <w:t xml:space="preserve"> NIST CSF 2.0: RS.CO-02 (Stakeholder Communication)</w:t>
      </w:r>
    </w:p>
    <w:p>
      <w:pPr>
        <w:pStyle w:val="Heading3"/>
        <w:keepNext/>
        <w:spacing w:after="90" w:before="200"/>
      </w:pPr>
      <w:r>
        <w:rPr>
          <w:rFonts w:ascii="Calibri" w:cs="Calibri" w:eastAsia="Calibri" w:hAnsi="Calibri"/>
          <w:b/>
          <w:bCs/>
          <w:color w:val="1F3864"/>
          <w:sz w:val="22"/>
          <w:szCs w:val="22"/>
        </w:rPr>
        <w:t xml:space="preserve">LOW  |  Evidence Chain-of-Custody Not Addressed in IR Plan</w:t>
      </w:r>
    </w:p>
    <w:p>
      <w:pPr>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Observation.</w:t>
      </w:r>
      <w:r>
        <w:rPr>
          <w:rFonts w:ascii="Calibri" w:cs="Calibri" w:eastAsia="Calibri" w:hAnsi="Calibri"/>
          <w:color w:val="404040"/>
          <w:sz w:val="21"/>
          <w:szCs w:val="21"/>
        </w:rPr>
        <w:t xml:space="preserve"> The organization’s incident response plan does not include a procedure for documenting evidence chain-of-custody during containment actions. While participants correctly initiated containment during the exercise, the steps taken and evidence preserved were not recorded in a manner that would support forensic analysis, insurance claims, or legal proceedings.</w:t>
      </w:r>
    </w:p>
    <w:p>
      <w:pPr>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Context and Risk Impact.</w:t>
      </w:r>
      <w:r>
        <w:rPr>
          <w:rFonts w:ascii="Calibri" w:cs="Calibri" w:eastAsia="Calibri" w:hAnsi="Calibri"/>
          <w:color w:val="404040"/>
          <w:sz w:val="21"/>
          <w:szCs w:val="21"/>
        </w:rPr>
        <w:t xml:space="preserve"> Incomplete evidence documentation reduces the evidentiary value of forensic findings, may weaken insurance claims, and could complicate litigation. This gap does not affect immediate response effectiveness, but it degrades the organization’s post-incident position.</w:t>
      </w:r>
    </w:p>
    <w:p>
      <w:pPr>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Recommendation.</w:t>
      </w:r>
      <w:r>
        <w:rPr>
          <w:rFonts w:ascii="Calibri" w:cs="Calibri" w:eastAsia="Calibri" w:hAnsi="Calibri"/>
          <w:color w:val="404040"/>
          <w:sz w:val="21"/>
          <w:szCs w:val="21"/>
        </w:rPr>
        <w:t xml:space="preserve"> Add an evidence chain-of-custody checklist to the incident response plan within 120 days: evidence identification and labeling, secure storage, access logging, and transfer documentation.</w:t>
      </w:r>
    </w:p>
    <w:p>
      <w:pPr>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Framework Mapping.</w:t>
      </w:r>
      <w:r>
        <w:rPr>
          <w:rFonts w:ascii="Calibri" w:cs="Calibri" w:eastAsia="Calibri" w:hAnsi="Calibri"/>
          <w:color w:val="404040"/>
          <w:sz w:val="21"/>
          <w:szCs w:val="21"/>
        </w:rPr>
        <w:t xml:space="preserve"> NIST CSF 2.0: RS.AN-07 (Forensic Analysis)</w:t>
      </w:r>
    </w:p>
    <w:p>
      <w:pPr>
        <w:pStyle w:val="Heading3"/>
        <w:keepNext/>
        <w:spacing w:after="90" w:before="200"/>
      </w:pPr>
      <w:r>
        <w:rPr>
          <w:rFonts w:ascii="Calibri" w:cs="Calibri" w:eastAsia="Calibri" w:hAnsi="Calibri"/>
          <w:b/>
          <w:bCs/>
          <w:color w:val="1F3864"/>
          <w:sz w:val="22"/>
          <w:szCs w:val="22"/>
        </w:rPr>
        <w:t xml:space="preserve">INFORMATIONAL  |  Effective Initial Detection and Escalation Demonstrated</w:t>
      </w:r>
    </w:p>
    <w:p>
      <w:pPr>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Observation.</w:t>
      </w:r>
      <w:r>
        <w:rPr>
          <w:rFonts w:ascii="Calibri" w:cs="Calibri" w:eastAsia="Calibri" w:hAnsi="Calibri"/>
          <w:color w:val="404040"/>
          <w:sz w:val="21"/>
          <w:szCs w:val="21"/>
        </w:rPr>
        <w:t xml:space="preserve"> The IT operations team correctly identified the ransomware indicators within the first 10 minutes of the scenario and initiated the documented containment protocol without prompting. The team lead communicated the initial scope assessment to executive leadership and legal counsel within the expected timeframe, following the documented chain of command accurately.</w:t>
      </w:r>
    </w:p>
    <w:p>
      <w:pPr>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Context and Risk Impact.</w:t>
      </w:r>
      <w:r>
        <w:rPr>
          <w:rFonts w:ascii="Calibri" w:cs="Calibri" w:eastAsia="Calibri" w:hAnsi="Calibri"/>
          <w:color w:val="404040"/>
          <w:sz w:val="21"/>
          <w:szCs w:val="21"/>
        </w:rPr>
        <w:t xml:space="preserve"> Effective initial detection and escalation is the foundation of ransomware response. The demonstrated capability indicates that the organization’s investment in detection tooling and escalation procedures is producing results, and represents a meaningful organizational strength.</w:t>
      </w:r>
    </w:p>
    <w:p>
      <w:pPr>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Recommendation.</w:t>
      </w:r>
      <w:r>
        <w:rPr>
          <w:rFonts w:ascii="Calibri" w:cs="Calibri" w:eastAsia="Calibri" w:hAnsi="Calibri"/>
          <w:color w:val="404040"/>
          <w:sz w:val="21"/>
          <w:szCs w:val="21"/>
        </w:rPr>
        <w:t xml:space="preserve"> Maintain the current capability through continued training, exercise participation, and periodic review of escalation procedures as personnel change. Consider documenting this capability as a reference standard for onboarding new IT operations staff.</w:t>
      </w:r>
    </w:p>
    <w:p>
      <w:pPr>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Framework Mapping.</w:t>
      </w:r>
      <w:r>
        <w:rPr>
          <w:rFonts w:ascii="Calibri" w:cs="Calibri" w:eastAsia="Calibri" w:hAnsi="Calibri"/>
          <w:color w:val="404040"/>
          <w:sz w:val="21"/>
          <w:szCs w:val="21"/>
        </w:rPr>
        <w:t xml:space="preserve"> NIST CSF 2.0: DE.CM-01 (Monitoring), RS.CO-03 (Incident Reporting)</w:t>
      </w:r>
    </w:p>
    <w:p>
      <w:pPr>
        <w:pStyle w:val="Heading1"/>
        <w:keepNext/>
        <w:spacing w:after="140" w:before="320"/>
      </w:pPr>
      <w:r>
        <w:rPr>
          <w:rFonts w:ascii="Calibri" w:cs="Calibri" w:eastAsia="Calibri" w:hAnsi="Calibri"/>
          <w:b/>
          <w:bCs/>
          <w:color w:val="1F3864"/>
          <w:sz w:val="30"/>
          <w:szCs w:val="30"/>
        </w:rPr>
        <w:t xml:space="preserve">2. Data Breach with Notification</w:t>
      </w:r>
    </w:p>
    <w:p>
      <w:pPr>
        <w:pStyle w:val="Heading3"/>
        <w:keepNext/>
        <w:spacing w:after="90" w:before="200"/>
      </w:pPr>
      <w:r>
        <w:rPr>
          <w:rFonts w:ascii="Calibri" w:cs="Calibri" w:eastAsia="Calibri" w:hAnsi="Calibri"/>
          <w:b/>
          <w:bCs/>
          <w:color w:val="1F3864"/>
          <w:sz w:val="22"/>
          <w:szCs w:val="22"/>
        </w:rPr>
        <w:t xml:space="preserve">CRITICAL  |  Unable to Scope Affected Records Within Notification Window</w:t>
      </w:r>
    </w:p>
    <w:p>
      <w:pPr>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Observation.</w:t>
      </w:r>
      <w:r>
        <w:rPr>
          <w:rFonts w:ascii="Calibri" w:cs="Calibri" w:eastAsia="Calibri" w:hAnsi="Calibri"/>
          <w:color w:val="404040"/>
          <w:sz w:val="21"/>
          <w:szCs w:val="21"/>
        </w:rPr>
        <w:t xml:space="preserve"> The organization cannot determine the scope of affected records within any applicable regulatory notification window. No data classification scheme exists, no data mapping documents which systems contain which categories of regulated data, and no process exists for querying systems to identify affected individuals. Participants estimated that scoping a breach would take “weeks to months.”</w:t>
      </w:r>
    </w:p>
    <w:p>
      <w:pPr>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Context and Risk Impact.</w:t>
      </w:r>
      <w:r>
        <w:rPr>
          <w:rFonts w:ascii="Calibri" w:cs="Calibri" w:eastAsia="Calibri" w:hAnsi="Calibri"/>
          <w:color w:val="404040"/>
          <w:sz w:val="21"/>
          <w:szCs w:val="21"/>
        </w:rPr>
        <w:t xml:space="preserve"> HIPAA requires breach notification within 60 days of discovery; state statutes range from 24 hours to 60 days. An inability to scope affected records within these windows creates near-certain regulatory violations across multiple jurisdictions and prevents accurate notification of affected individuals. The participants’ own estimate exceeds every applicable deadline.</w:t>
      </w:r>
    </w:p>
    <w:p>
      <w:pPr>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Recommendation.</w:t>
      </w:r>
      <w:r>
        <w:rPr>
          <w:rFonts w:ascii="Calibri" w:cs="Calibri" w:eastAsia="Calibri" w:hAnsi="Calibri"/>
          <w:color w:val="404040"/>
          <w:sz w:val="21"/>
          <w:szCs w:val="21"/>
        </w:rPr>
        <w:t xml:space="preserve"> Initiate a data classification and mapping project within 30 days: identify all systems containing regulated data, document data flows, and establish a process for rapidly querying affected systems during an incident. The project should produce an inventory sufficient to scope a breach to the individual record level within 72 hours, prioritizing the highest-risk data categories first.</w:t>
      </w:r>
    </w:p>
    <w:p>
      <w:pPr>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Framework Mapping.</w:t>
      </w:r>
      <w:r>
        <w:rPr>
          <w:rFonts w:ascii="Calibri" w:cs="Calibri" w:eastAsia="Calibri" w:hAnsi="Calibri"/>
          <w:color w:val="404040"/>
          <w:sz w:val="21"/>
          <w:szCs w:val="21"/>
        </w:rPr>
        <w:t xml:space="preserve"> NIST CSF 2.0: ID.AM-01/02 (Asset Management), PR.DS-01 (Data Security); HIPAA §164.404</w:t>
      </w:r>
    </w:p>
    <w:p>
      <w:pPr>
        <w:pStyle w:val="Heading3"/>
        <w:keepNext/>
        <w:spacing w:after="90" w:before="200"/>
      </w:pPr>
      <w:r>
        <w:rPr>
          <w:rFonts w:ascii="Calibri" w:cs="Calibri" w:eastAsia="Calibri" w:hAnsi="Calibri"/>
          <w:b/>
          <w:bCs/>
          <w:color w:val="1F3864"/>
          <w:sz w:val="22"/>
          <w:szCs w:val="22"/>
        </w:rPr>
        <w:t xml:space="preserve">HIGH  |  No Pre-Drafted Notification Templates for Any Stakeholder Category</w:t>
      </w:r>
    </w:p>
    <w:p>
      <w:pPr>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Observation.</w:t>
      </w:r>
      <w:r>
        <w:rPr>
          <w:rFonts w:ascii="Calibri" w:cs="Calibri" w:eastAsia="Calibri" w:hAnsi="Calibri"/>
          <w:color w:val="404040"/>
          <w:sz w:val="21"/>
          <w:szCs w:val="21"/>
        </w:rPr>
        <w:t xml:space="preserve"> No pre-drafted notification templates exist for affected individuals, state regulators, federal regulators, law enforcement, insurance carriers, or business partners. During the notification module, participants spent substantial time debating notification language and distribution logistics rather than executing a plan.</w:t>
      </w:r>
    </w:p>
    <w:p>
      <w:pPr>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Context and Risk Impact.</w:t>
      </w:r>
      <w:r>
        <w:rPr>
          <w:rFonts w:ascii="Calibri" w:cs="Calibri" w:eastAsia="Calibri" w:hAnsi="Calibri"/>
          <w:color w:val="404040"/>
          <w:sz w:val="21"/>
          <w:szCs w:val="21"/>
        </w:rPr>
        <w:t xml:space="preserve"> Notification delays compound regulatory exposure, each day beyond the deadline increases enforcement risk. Drafting notification language during an active breach diverts legal and executive attention from containment. Pre-drafted templates reviewed by counsel in advance eliminate the most time-consuming bottleneck in the notification process.</w:t>
      </w:r>
    </w:p>
    <w:p>
      <w:pPr>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Recommendation.</w:t>
      </w:r>
      <w:r>
        <w:rPr>
          <w:rFonts w:ascii="Calibri" w:cs="Calibri" w:eastAsia="Calibri" w:hAnsi="Calibri"/>
          <w:color w:val="404040"/>
          <w:sz w:val="21"/>
          <w:szCs w:val="21"/>
        </w:rPr>
        <w:t xml:space="preserve"> Develop pre-drafted notification templates within 60 days for each stakeholder category, reviewed by outside counsel, approved by leadership, and stored where the response team can find them. Review annually and after regulatory changes.</w:t>
      </w:r>
    </w:p>
    <w:p>
      <w:pPr>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Framework Mapping.</w:t>
      </w:r>
      <w:r>
        <w:rPr>
          <w:rFonts w:ascii="Calibri" w:cs="Calibri" w:eastAsia="Calibri" w:hAnsi="Calibri"/>
          <w:color w:val="404040"/>
          <w:sz w:val="21"/>
          <w:szCs w:val="21"/>
        </w:rPr>
        <w:t xml:space="preserve"> NIST CSF 2.0: RS.CO-02; HIPAA §164.404–.408 where applicable</w:t>
      </w:r>
    </w:p>
    <w:p>
      <w:pPr>
        <w:pStyle w:val="Heading3"/>
        <w:keepNext/>
        <w:spacing w:after="90" w:before="200"/>
      </w:pPr>
      <w:r>
        <w:rPr>
          <w:rFonts w:ascii="Calibri" w:cs="Calibri" w:eastAsia="Calibri" w:hAnsi="Calibri"/>
          <w:b/>
          <w:bCs/>
          <w:color w:val="1F3864"/>
          <w:sz w:val="22"/>
          <w:szCs w:val="22"/>
        </w:rPr>
        <w:t xml:space="preserve">MEDIUM  |  Legal Review Bottleneck in Notification Process</w:t>
      </w:r>
    </w:p>
    <w:p>
      <w:pPr>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Observation.</w:t>
      </w:r>
      <w:r>
        <w:rPr>
          <w:rFonts w:ascii="Calibri" w:cs="Calibri" w:eastAsia="Calibri" w:hAnsi="Calibri"/>
          <w:color w:val="404040"/>
          <w:sz w:val="21"/>
          <w:szCs w:val="21"/>
        </w:rPr>
        <w:t xml:space="preserve"> The organization’s notification process requires outside counsel review before distribution, but no counsel relationship has been established. Participants estimated that engaging and onboarding counsel during an active breach would take 5–10 business days.</w:t>
      </w:r>
    </w:p>
    <w:p>
      <w:pPr>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Context and Risk Impact.</w:t>
      </w:r>
      <w:r>
        <w:rPr>
          <w:rFonts w:ascii="Calibri" w:cs="Calibri" w:eastAsia="Calibri" w:hAnsi="Calibri"/>
          <w:color w:val="404040"/>
          <w:sz w:val="21"/>
          <w:szCs w:val="21"/>
        </w:rPr>
        <w:t xml:space="preserve"> A 5–10 business day delay to engage counsel, plus review time, would consume most of the applicable notification windows, converting a manageable process into a probable deadline violation.</w:t>
      </w:r>
    </w:p>
    <w:p>
      <w:pPr>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Recommendation.</w:t>
      </w:r>
      <w:r>
        <w:rPr>
          <w:rFonts w:ascii="Calibri" w:cs="Calibri" w:eastAsia="Calibri" w:hAnsi="Calibri"/>
          <w:color w:val="404040"/>
          <w:sz w:val="21"/>
          <w:szCs w:val="21"/>
        </w:rPr>
        <w:t xml:space="preserve"> Establish a relationship with counsel experienced in breach notification within 90 days, including response-time expectations, pre-reviewed templates, and defined authorization levels. Consider a retainer guaranteeing availability within 24 hours of breach discovery.</w:t>
      </w:r>
    </w:p>
    <w:p>
      <w:pPr>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Framework Mapping.</w:t>
      </w:r>
      <w:r>
        <w:rPr>
          <w:rFonts w:ascii="Calibri" w:cs="Calibri" w:eastAsia="Calibri" w:hAnsi="Calibri"/>
          <w:color w:val="404040"/>
          <w:sz w:val="21"/>
          <w:szCs w:val="21"/>
        </w:rPr>
        <w:t xml:space="preserve"> NIST CSF 2.0: RS.MA-01 (Incident Management)</w:t>
      </w:r>
    </w:p>
    <w:p>
      <w:pPr>
        <w:pStyle w:val="Heading3"/>
        <w:keepNext/>
        <w:spacing w:after="90" w:before="200"/>
      </w:pPr>
      <w:r>
        <w:rPr>
          <w:rFonts w:ascii="Calibri" w:cs="Calibri" w:eastAsia="Calibri" w:hAnsi="Calibri"/>
          <w:b/>
          <w:bCs/>
          <w:color w:val="1F3864"/>
          <w:sz w:val="22"/>
          <w:szCs w:val="22"/>
        </w:rPr>
        <w:t xml:space="preserve">LOW  |  Credit Monitoring Decision Criteria Not Documented</w:t>
      </w:r>
    </w:p>
    <w:p>
      <w:pPr>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Observation.</w:t>
      </w:r>
      <w:r>
        <w:rPr>
          <w:rFonts w:ascii="Calibri" w:cs="Calibri" w:eastAsia="Calibri" w:hAnsi="Calibri"/>
          <w:color w:val="404040"/>
          <w:sz w:val="21"/>
          <w:szCs w:val="21"/>
        </w:rPr>
        <w:t xml:space="preserve"> No documented criteria exist for deciding when to offer credit monitoring to affected individuals. Participants debated whether it was legally required, who would pay, which vendor to use, and for how long, without reaching consensus.</w:t>
      </w:r>
    </w:p>
    <w:p>
      <w:pPr>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Context and Risk Impact.</w:t>
      </w:r>
      <w:r>
        <w:rPr>
          <w:rFonts w:ascii="Calibri" w:cs="Calibri" w:eastAsia="Calibri" w:hAnsi="Calibri"/>
          <w:color w:val="404040"/>
          <w:sz w:val="21"/>
          <w:szCs w:val="21"/>
        </w:rPr>
        <w:t xml:space="preserve"> Credit monitoring is an industry-standard expectation for breaches involving Social Security numbers or financial data. Absent pre-defined criteria, the decision consumes response time and risks the organization appearing unresponsive to affected individuals.</w:t>
      </w:r>
    </w:p>
    <w:p>
      <w:pPr>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Recommendation.</w:t>
      </w:r>
      <w:r>
        <w:rPr>
          <w:rFonts w:ascii="Calibri" w:cs="Calibri" w:eastAsia="Calibri" w:hAnsi="Calibri"/>
          <w:color w:val="404040"/>
          <w:sz w:val="21"/>
          <w:szCs w:val="21"/>
        </w:rPr>
        <w:t xml:space="preserve"> Document credit monitoring decision criteria within 120 days: trigger conditions, duration standards (industry norm 12–24 months), vendor pre-selection, and budget pre-authorization thresholds. Include as an appendix to the incident response plan.</w:t>
      </w:r>
    </w:p>
    <w:p>
      <w:pPr>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Framework Mapping.</w:t>
      </w:r>
      <w:r>
        <w:rPr>
          <w:rFonts w:ascii="Calibri" w:cs="Calibri" w:eastAsia="Calibri" w:hAnsi="Calibri"/>
          <w:color w:val="404040"/>
          <w:sz w:val="21"/>
          <w:szCs w:val="21"/>
        </w:rPr>
        <w:t xml:space="preserve"> NIST CSF 2.0: RS.MI-02 (Incident Mitigation)</w:t>
      </w:r>
    </w:p>
    <w:p>
      <w:pPr>
        <w:pStyle w:val="Heading1"/>
        <w:keepNext/>
        <w:spacing w:after="140" w:before="320"/>
      </w:pPr>
      <w:r>
        <w:rPr>
          <w:rFonts w:ascii="Calibri" w:cs="Calibri" w:eastAsia="Calibri" w:hAnsi="Calibri"/>
          <w:b/>
          <w:bCs/>
          <w:color w:val="1F3864"/>
          <w:sz w:val="30"/>
          <w:szCs w:val="30"/>
        </w:rPr>
        <w:t xml:space="preserve">3. Vendor and Supply Chain</w:t>
      </w:r>
    </w:p>
    <w:p>
      <w:pPr>
        <w:pStyle w:val="Heading3"/>
        <w:keepNext/>
        <w:spacing w:after="90" w:before="200"/>
      </w:pPr>
      <w:r>
        <w:rPr>
          <w:rFonts w:ascii="Calibri" w:cs="Calibri" w:eastAsia="Calibri" w:hAnsi="Calibri"/>
          <w:b/>
          <w:bCs/>
          <w:color w:val="1F3864"/>
          <w:sz w:val="22"/>
          <w:szCs w:val="22"/>
        </w:rPr>
        <w:t xml:space="preserve">HIGH  |  Primary Revenue Service Depends on a Single Vendor with No Continuity Plan</w:t>
      </w:r>
    </w:p>
    <w:p>
      <w:pPr>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Observation.</w:t>
      </w:r>
      <w:r>
        <w:rPr>
          <w:rFonts w:ascii="Calibri" w:cs="Calibri" w:eastAsia="Calibri" w:hAnsi="Calibri"/>
          <w:color w:val="404040"/>
          <w:sz w:val="21"/>
          <w:szCs w:val="21"/>
        </w:rPr>
        <w:t xml:space="preserve"> The organization’s primary revenue-generating service depends entirely on a single vendor representing approximately 60% of billable operations. No restoration SLA exists, no alternative supplier has been identified or pre-qualified, and no continuity plan exists for that vendor’s failure.</w:t>
      </w:r>
    </w:p>
    <w:p>
      <w:pPr>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Context and Risk Impact.</w:t>
      </w:r>
      <w:r>
        <w:rPr>
          <w:rFonts w:ascii="Calibri" w:cs="Calibri" w:eastAsia="Calibri" w:hAnsi="Calibri"/>
          <w:color w:val="404040"/>
          <w:sz w:val="21"/>
          <w:szCs w:val="21"/>
        </w:rPr>
        <w:t xml:space="preserve"> Loss of a vendor representing 60% of billable operations would create immediate, severe financial impact with no defined restoration path. Client contractual obligations that depend on the vendor may be breached, adding legal and relationship exposure.</w:t>
      </w:r>
    </w:p>
    <w:p>
      <w:pPr>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Recommendation.</w:t>
      </w:r>
      <w:r>
        <w:rPr>
          <w:rFonts w:ascii="Calibri" w:cs="Calibri" w:eastAsia="Calibri" w:hAnsi="Calibri"/>
          <w:color w:val="404040"/>
          <w:sz w:val="21"/>
          <w:szCs w:val="21"/>
        </w:rPr>
        <w:t xml:space="preserve"> Develop a vendor continuity plan within 60 days: pre-qualify at least one alternative supplier, negotiate a restoration SLA with the primary vendor, define the minimum service level sustainable without the vendor, and prepare client communication protocols. Assess whether the current concentration is a risk the organization accepts deliberately.</w:t>
      </w:r>
    </w:p>
    <w:p>
      <w:pPr>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Framework Mapping.</w:t>
      </w:r>
      <w:r>
        <w:rPr>
          <w:rFonts w:ascii="Calibri" w:cs="Calibri" w:eastAsia="Calibri" w:hAnsi="Calibri"/>
          <w:color w:val="404040"/>
          <w:sz w:val="21"/>
          <w:szCs w:val="21"/>
        </w:rPr>
        <w:t xml:space="preserve"> NIST CSF 2.0: ID.SC-04, GV.SC-05 (Supply Chain Risk Management)</w:t>
      </w:r>
    </w:p>
    <w:p>
      <w:pPr>
        <w:pStyle w:val="Heading3"/>
        <w:keepNext/>
        <w:spacing w:after="90" w:before="200"/>
      </w:pPr>
      <w:r>
        <w:rPr>
          <w:rFonts w:ascii="Calibri" w:cs="Calibri" w:eastAsia="Calibri" w:hAnsi="Calibri"/>
          <w:b/>
          <w:bCs/>
          <w:color w:val="1F3864"/>
          <w:sz w:val="22"/>
          <w:szCs w:val="22"/>
        </w:rPr>
        <w:t xml:space="preserve">HIGH  |  No Vendor Security Assessment for Vendors with System Access</w:t>
      </w:r>
    </w:p>
    <w:p>
      <w:pPr>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Observation.</w:t>
      </w:r>
      <w:r>
        <w:rPr>
          <w:rFonts w:ascii="Calibri" w:cs="Calibri" w:eastAsia="Calibri" w:hAnsi="Calibri"/>
          <w:color w:val="404040"/>
          <w:sz w:val="21"/>
          <w:szCs w:val="21"/>
        </w:rPr>
        <w:t xml:space="preserve"> The organization performs no security assessment of vendors with access to its network, data, or critical systems. Participants could not identify which vendors hold administrative access, what data vendors can reach, or what security standards vendors are contractually required to meet.</w:t>
      </w:r>
    </w:p>
    <w:p>
      <w:pPr>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Context and Risk Impact.</w:t>
      </w:r>
      <w:r>
        <w:rPr>
          <w:rFonts w:ascii="Calibri" w:cs="Calibri" w:eastAsia="Calibri" w:hAnsi="Calibri"/>
          <w:color w:val="404040"/>
          <w:sz w:val="21"/>
          <w:szCs w:val="21"/>
        </w:rPr>
        <w:t xml:space="preserve"> A compromise arriving through a trusted vendor bypasses perimeter controls entirely. Without visibility into vendor security posture, the organization cannot assess the risk vendor access introduces, detect vendor-originating compromise, or hold vendors accountable. Not knowing which vendors hold administrative access is itself a governance gap.</w:t>
      </w:r>
    </w:p>
    <w:p>
      <w:pPr>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Recommendation.</w:t>
      </w:r>
      <w:r>
        <w:rPr>
          <w:rFonts w:ascii="Calibri" w:cs="Calibri" w:eastAsia="Calibri" w:hAnsi="Calibri"/>
          <w:color w:val="404040"/>
          <w:sz w:val="21"/>
          <w:szCs w:val="21"/>
        </w:rPr>
        <w:t xml:space="preserve"> Establish a vendor security assessment program within 90 days. Inventory all vendors with network, data, or administrative access; categorize by criticality; require annual security questionnaires or SOC 2 reports from critical vendors; and add minimum security standards to new contracts and renewals.</w:t>
      </w:r>
    </w:p>
    <w:p>
      <w:pPr>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Framework Mapping.</w:t>
      </w:r>
      <w:r>
        <w:rPr>
          <w:rFonts w:ascii="Calibri" w:cs="Calibri" w:eastAsia="Calibri" w:hAnsi="Calibri"/>
          <w:color w:val="404040"/>
          <w:sz w:val="21"/>
          <w:szCs w:val="21"/>
        </w:rPr>
        <w:t xml:space="preserve"> NIST CSF 2.0: ID.SC-01/02/04, GV.SC-05</w:t>
      </w:r>
    </w:p>
    <w:p>
      <w:pPr>
        <w:pStyle w:val="Heading3"/>
        <w:keepNext/>
        <w:spacing w:after="90" w:before="200"/>
      </w:pPr>
      <w:r>
        <w:rPr>
          <w:rFonts w:ascii="Calibri" w:cs="Calibri" w:eastAsia="Calibri" w:hAnsi="Calibri"/>
          <w:b/>
          <w:bCs/>
          <w:color w:val="1F3864"/>
          <w:sz w:val="22"/>
          <w:szCs w:val="22"/>
        </w:rPr>
        <w:t xml:space="preserve">MEDIUM  |  No Documented Process for Revoking Vendor Access During an Incident</w:t>
      </w:r>
    </w:p>
    <w:p>
      <w:pPr>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Observation.</w:t>
      </w:r>
      <w:r>
        <w:rPr>
          <w:rFonts w:ascii="Calibri" w:cs="Calibri" w:eastAsia="Calibri" w:hAnsi="Calibri"/>
          <w:color w:val="404040"/>
          <w:sz w:val="21"/>
          <w:szCs w:val="21"/>
        </w:rPr>
        <w:t xml:space="preserve"> No documented process exists for rapidly revoking a vendor’s access when that vendor is suspected of compromise. Participants identified at least four systems where vendor access uses shared credentials, making targeted revocation impossible without disrupting the associated service.</w:t>
      </w:r>
    </w:p>
    <w:p>
      <w:pPr>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Context and Risk Impact.</w:t>
      </w:r>
      <w:r>
        <w:rPr>
          <w:rFonts w:ascii="Calibri" w:cs="Calibri" w:eastAsia="Calibri" w:hAnsi="Calibri"/>
          <w:color w:val="404040"/>
          <w:sz w:val="21"/>
          <w:szCs w:val="21"/>
        </w:rPr>
        <w:t xml:space="preserve"> During a vendor compromise, the ability to isolate the vendor’s access while maintaining critical services is essential to containment. Shared credentials force a choice between disrupting the service and leaving the attacker’s access open.</w:t>
      </w:r>
    </w:p>
    <w:p>
      <w:pPr>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Recommendation.</w:t>
      </w:r>
      <w:r>
        <w:rPr>
          <w:rFonts w:ascii="Calibri" w:cs="Calibri" w:eastAsia="Calibri" w:hAnsi="Calibri"/>
          <w:color w:val="404040"/>
          <w:sz w:val="21"/>
          <w:szCs w:val="21"/>
        </w:rPr>
        <w:t xml:space="preserve"> Transition vendor access from shared credentials to individually assigned, auditable accounts within 90 days. Document a revocation procedure covering each vendor’s access points, the service impact of revocation, and alternative arrangements during isolation. Test with at least one critical vendor.</w:t>
      </w:r>
    </w:p>
    <w:p>
      <w:pPr>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Framework Mapping.</w:t>
      </w:r>
      <w:r>
        <w:rPr>
          <w:rFonts w:ascii="Calibri" w:cs="Calibri" w:eastAsia="Calibri" w:hAnsi="Calibri"/>
          <w:color w:val="404040"/>
          <w:sz w:val="21"/>
          <w:szCs w:val="21"/>
        </w:rPr>
        <w:t xml:space="preserve"> NIST CSF 2.0: PR.AA-01/05 (Identity and Access Management)</w:t>
      </w:r>
    </w:p>
    <w:p>
      <w:pPr>
        <w:pStyle w:val="Heading3"/>
        <w:keepNext/>
        <w:spacing w:after="90" w:before="200"/>
      </w:pPr>
      <w:r>
        <w:rPr>
          <w:rFonts w:ascii="Calibri" w:cs="Calibri" w:eastAsia="Calibri" w:hAnsi="Calibri"/>
          <w:b/>
          <w:bCs/>
          <w:color w:val="1F3864"/>
          <w:sz w:val="22"/>
          <w:szCs w:val="22"/>
        </w:rPr>
        <w:t xml:space="preserve">MEDIUM  |  No Regular Review of Vendor Financial Health</w:t>
      </w:r>
    </w:p>
    <w:p>
      <w:pPr>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Observation.</w:t>
      </w:r>
      <w:r>
        <w:rPr>
          <w:rFonts w:ascii="Calibri" w:cs="Calibri" w:eastAsia="Calibri" w:hAnsi="Calibri"/>
          <w:color w:val="404040"/>
          <w:sz w:val="21"/>
          <w:szCs w:val="21"/>
        </w:rPr>
        <w:t xml:space="preserve"> The organization does not monitor the financial health of critical vendors. Participants could identify no process for reviewing vendor financial indicators, and described the vendor failure scenario as one they “had never considered” despite high vendor dependency.</w:t>
      </w:r>
    </w:p>
    <w:p>
      <w:pPr>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Context and Risk Impact.</w:t>
      </w:r>
      <w:r>
        <w:rPr>
          <w:rFonts w:ascii="Calibri" w:cs="Calibri" w:eastAsia="Calibri" w:hAnsi="Calibri"/>
          <w:color w:val="404040"/>
          <w:sz w:val="21"/>
          <w:szCs w:val="21"/>
        </w:rPr>
        <w:t xml:space="preserve"> Vendor financial failure typically provides advance warning signals, service degradation, staff departures, public filings. An organization that monitors these signals can activate contingency plans before complete failure; one that does not must react to a sudden disruption.</w:t>
      </w:r>
    </w:p>
    <w:p>
      <w:pPr>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Recommendation.</w:t>
      </w:r>
      <w:r>
        <w:rPr>
          <w:rFonts w:ascii="Calibri" w:cs="Calibri" w:eastAsia="Calibri" w:hAnsi="Calibri"/>
          <w:color w:val="404040"/>
          <w:sz w:val="21"/>
          <w:szCs w:val="21"/>
        </w:rPr>
        <w:t xml:space="preserve"> Establish a quarterly vendor health review for critical vendors within 90 days: public financial indicators, service quality trends, leadership changes, and industry news. Assign the review to a specific role with defined escalation criteria.</w:t>
      </w:r>
    </w:p>
    <w:p>
      <w:pPr>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Framework Mapping.</w:t>
      </w:r>
      <w:r>
        <w:rPr>
          <w:rFonts w:ascii="Calibri" w:cs="Calibri" w:eastAsia="Calibri" w:hAnsi="Calibri"/>
          <w:color w:val="404040"/>
          <w:sz w:val="21"/>
          <w:szCs w:val="21"/>
        </w:rPr>
        <w:t xml:space="preserve"> NIST CSF 2.0: GV.SC-07</w:t>
      </w:r>
    </w:p>
    <w:p>
      <w:pPr>
        <w:pStyle w:val="Heading3"/>
        <w:keepNext/>
        <w:spacing w:after="90" w:before="200"/>
      </w:pPr>
      <w:r>
        <w:rPr>
          <w:rFonts w:ascii="Calibri" w:cs="Calibri" w:eastAsia="Calibri" w:hAnsi="Calibri"/>
          <w:b/>
          <w:bCs/>
          <w:color w:val="1F3864"/>
          <w:sz w:val="22"/>
          <w:szCs w:val="22"/>
        </w:rPr>
        <w:t xml:space="preserve">LOW  |  Vendor Contact Information Not Centrally Maintained</w:t>
      </w:r>
    </w:p>
    <w:p>
      <w:pPr>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Observation.</w:t>
      </w:r>
      <w:r>
        <w:rPr>
          <w:rFonts w:ascii="Calibri" w:cs="Calibri" w:eastAsia="Calibri" w:hAnsi="Calibri"/>
          <w:color w:val="404040"/>
          <w:sz w:val="21"/>
          <w:szCs w:val="21"/>
        </w:rPr>
        <w:t xml:space="preserve"> No centralized register exists of vendor emergency contacts, account managers, and escalation paths. During the exercise, participants searched individual inboxes and outdated shared drives; the primary vendor’s emergency support number was not known to any participant.</w:t>
      </w:r>
    </w:p>
    <w:p>
      <w:pPr>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Context and Risk Impact.</w:t>
      </w:r>
      <w:r>
        <w:rPr>
          <w:rFonts w:ascii="Calibri" w:cs="Calibri" w:eastAsia="Calibri" w:hAnsi="Calibri"/>
          <w:color w:val="404040"/>
          <w:sz w:val="21"/>
          <w:szCs w:val="21"/>
        </w:rPr>
        <w:t xml:space="preserve"> During a vendor failure, reaching the right person quickly materially affects resolution speed. Searching for contact information during a crisis wastes time and risks being unable to reach the vendor at all in the critical early hours.</w:t>
      </w:r>
    </w:p>
    <w:p>
      <w:pPr>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Recommendation.</w:t>
      </w:r>
      <w:r>
        <w:rPr>
          <w:rFonts w:ascii="Calibri" w:cs="Calibri" w:eastAsia="Calibri" w:hAnsi="Calibri"/>
          <w:color w:val="404040"/>
          <w:sz w:val="21"/>
          <w:szCs w:val="21"/>
        </w:rPr>
        <w:t xml:space="preserve"> Create a centralized vendor contact register within 120 days: emergency numbers, account managers, escalation paths, contract references, and SLA terms. Store it where the management team can reach it, including from personal devices, and review quarterly.</w:t>
      </w:r>
    </w:p>
    <w:p>
      <w:pPr>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Framework Mapping.</w:t>
      </w:r>
      <w:r>
        <w:rPr>
          <w:rFonts w:ascii="Calibri" w:cs="Calibri" w:eastAsia="Calibri" w:hAnsi="Calibri"/>
          <w:color w:val="404040"/>
          <w:sz w:val="21"/>
          <w:szCs w:val="21"/>
        </w:rPr>
        <w:t xml:space="preserve"> NIST CSF 2.0: ID.AM-04</w:t>
      </w:r>
    </w:p>
    <w:p>
      <w:pPr>
        <w:pStyle w:val="Heading1"/>
        <w:keepNext/>
        <w:spacing w:after="140" w:before="320"/>
      </w:pPr>
      <w:r>
        <w:rPr>
          <w:rFonts w:ascii="Calibri" w:cs="Calibri" w:eastAsia="Calibri" w:hAnsi="Calibri"/>
          <w:b/>
          <w:bCs/>
          <w:color w:val="1F3864"/>
          <w:sz w:val="30"/>
          <w:szCs w:val="30"/>
        </w:rPr>
        <w:t xml:space="preserve">4. Key Person Loss / Succession</w:t>
      </w:r>
    </w:p>
    <w:p>
      <w:pPr>
        <w:pStyle w:val="Heading3"/>
        <w:keepNext/>
        <w:spacing w:after="90" w:before="200"/>
      </w:pPr>
      <w:r>
        <w:rPr>
          <w:rFonts w:ascii="Calibri" w:cs="Calibri" w:eastAsia="Calibri" w:hAnsi="Calibri"/>
          <w:b/>
          <w:bCs/>
          <w:color w:val="1F3864"/>
          <w:sz w:val="22"/>
          <w:szCs w:val="22"/>
        </w:rPr>
        <w:t xml:space="preserve">CRITICAL  |  Single Individual Controls All Financial System Access</w:t>
      </w:r>
    </w:p>
    <w:p>
      <w:pPr>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Observation.</w:t>
      </w:r>
      <w:r>
        <w:rPr>
          <w:rFonts w:ascii="Calibri" w:cs="Calibri" w:eastAsia="Calibri" w:hAnsi="Calibri"/>
          <w:color w:val="404040"/>
          <w:sz w:val="21"/>
          <w:szCs w:val="21"/>
        </w:rPr>
        <w:t xml:space="preserve"> Only one individual holds administrative credentials to the organization’s financial management system, spanning accounts payable, accounts receivable, and payroll. No documented recovery process exists for these credentials, none are escrowed, and no successor has been identified or cross-trained. Participants confirmed the same individual is the sole authorized check signer.</w:t>
      </w:r>
    </w:p>
    <w:p>
      <w:pPr>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Context and Risk Impact.</w:t>
      </w:r>
      <w:r>
        <w:rPr>
          <w:rFonts w:ascii="Calibri" w:cs="Calibri" w:eastAsia="Calibri" w:hAnsi="Calibri"/>
          <w:color w:val="404040"/>
          <w:sz w:val="21"/>
          <w:szCs w:val="21"/>
        </w:rPr>
        <w:t xml:space="preserve"> A sudden unavailability event, illness, departure, incapacitation, would halt all financial operations with no defined restoration path. Payroll interruption creates immediate employment law exposure; AP disruption affects vendor obligations; AR disruption affects cash flow. Concentrating financial authority in one person also leaves fraud risk unmitigated, as no separation of duties exists.</w:t>
      </w:r>
    </w:p>
    <w:p>
      <w:pPr>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Recommendation.</w:t>
      </w:r>
      <w:r>
        <w:rPr>
          <w:rFonts w:ascii="Calibri" w:cs="Calibri" w:eastAsia="Calibri" w:hAnsi="Calibri"/>
          <w:color w:val="404040"/>
          <w:sz w:val="21"/>
          <w:szCs w:val="21"/>
        </w:rPr>
        <w:t xml:space="preserve"> Treat as an emergency priority within 30 days: identify and train a backup financial system administrator, escrow administrative credentials with a trusted third party, add a second authorized check signer, and document financial system administration procedures. Within 90 days, implement separation of duties and a formal succession plan for the role.</w:t>
      </w:r>
    </w:p>
    <w:p>
      <w:pPr>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Framework Mapping.</w:t>
      </w:r>
      <w:r>
        <w:rPr>
          <w:rFonts w:ascii="Calibri" w:cs="Calibri" w:eastAsia="Calibri" w:hAnsi="Calibri"/>
          <w:color w:val="404040"/>
          <w:sz w:val="21"/>
          <w:szCs w:val="21"/>
        </w:rPr>
        <w:t xml:space="preserve"> NIST CSF 2.0: GV.RR-02 (Roles and Responsibilities), PR.AA-05 (Access Privileges)</w:t>
      </w:r>
    </w:p>
    <w:p>
      <w:pPr>
        <w:pStyle w:val="Heading3"/>
        <w:keepNext/>
        <w:spacing w:after="90" w:before="200"/>
      </w:pPr>
      <w:r>
        <w:rPr>
          <w:rFonts w:ascii="Calibri" w:cs="Calibri" w:eastAsia="Calibri" w:hAnsi="Calibri"/>
          <w:b/>
          <w:bCs/>
          <w:color w:val="1F3864"/>
          <w:sz w:val="22"/>
          <w:szCs w:val="22"/>
        </w:rPr>
        <w:t xml:space="preserve">HIGH  |  No Documented Knowledge Transfer Process for Critical Roles</w:t>
      </w:r>
    </w:p>
    <w:p>
      <w:pPr>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Observation.</w:t>
      </w:r>
      <w:r>
        <w:rPr>
          <w:rFonts w:ascii="Calibri" w:cs="Calibri" w:eastAsia="Calibri" w:hAnsi="Calibri"/>
          <w:color w:val="404040"/>
          <w:sz w:val="21"/>
          <w:szCs w:val="21"/>
        </w:rPr>
        <w:t xml:space="preserve"> The organization has no procedure for identifying roles with concentrated critical knowledge or for structured knowledge transfer. Participants identified at least three roles beyond the controller where a single person holds undocumented knowledge essential to operations: the IT administrator, the senior project manager for the largest client, and the operations manager who maintains all vendor relationships.</w:t>
      </w:r>
    </w:p>
    <w:p>
      <w:pPr>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Context and Risk Impact.</w:t>
      </w:r>
      <w:r>
        <w:rPr>
          <w:rFonts w:ascii="Calibri" w:cs="Calibri" w:eastAsia="Calibri" w:hAnsi="Calibri"/>
          <w:color w:val="404040"/>
          <w:sz w:val="21"/>
          <w:szCs w:val="21"/>
        </w:rPr>
        <w:t xml:space="preserve"> Concentrated, undocumented knowledge creates cascading operational risk, losing any of these individuals means losing the institutional knowledge required to maintain operations and relationships. Participants were aware of these dependencies but had taken no mitigation steps: a known risk accepted by default rather than by decision.</w:t>
      </w:r>
    </w:p>
    <w:p>
      <w:pPr>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Recommendation.</w:t>
      </w:r>
      <w:r>
        <w:rPr>
          <w:rFonts w:ascii="Calibri" w:cs="Calibri" w:eastAsia="Calibri" w:hAnsi="Calibri"/>
          <w:color w:val="404040"/>
          <w:sz w:val="21"/>
          <w:szCs w:val="21"/>
        </w:rPr>
        <w:t xml:space="preserve"> Establish a key person identification and knowledge transfer program within 60 days: a formal dependency assessment across all roles, and for each identified role a transfer plan covering documentation of critical procedures, cross-training of at least one backup, and periodic validation that the backup can execute independently.</w:t>
      </w:r>
    </w:p>
    <w:p>
      <w:pPr>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Framework Mapping.</w:t>
      </w:r>
      <w:r>
        <w:rPr>
          <w:rFonts w:ascii="Calibri" w:cs="Calibri" w:eastAsia="Calibri" w:hAnsi="Calibri"/>
          <w:color w:val="404040"/>
          <w:sz w:val="21"/>
          <w:szCs w:val="21"/>
        </w:rPr>
        <w:t xml:space="preserve"> NIST CSF 2.0: GV.RR-02, PR.AT-01</w:t>
      </w:r>
    </w:p>
    <w:p>
      <w:pPr>
        <w:pStyle w:val="Heading3"/>
        <w:keepNext/>
        <w:spacing w:after="90" w:before="200"/>
      </w:pPr>
      <w:r>
        <w:rPr>
          <w:rFonts w:ascii="Calibri" w:cs="Calibri" w:eastAsia="Calibri" w:hAnsi="Calibri"/>
          <w:b/>
          <w:bCs/>
          <w:color w:val="1F3864"/>
          <w:sz w:val="22"/>
          <w:szCs w:val="22"/>
        </w:rPr>
        <w:t xml:space="preserve">MEDIUM  |  Emergency Authority Succession Not Documented</w:t>
      </w:r>
    </w:p>
    <w:p>
      <w:pPr>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Observation.</w:t>
      </w:r>
      <w:r>
        <w:rPr>
          <w:rFonts w:ascii="Calibri" w:cs="Calibri" w:eastAsia="Calibri" w:hAnsi="Calibri"/>
          <w:color w:val="404040"/>
          <w:sz w:val="21"/>
          <w:szCs w:val="21"/>
        </w:rPr>
        <w:t xml:space="preserve"> No documented authority succession plan exists for emergency decision-making. When the scenario removed the CEO from availability, participants were uncertain who could make financial commitments, authorize vendor changes, approve external communications, or direct operational changes. Multiple individuals were willing to act but unsure they had authority.</w:t>
      </w:r>
    </w:p>
    <w:p>
      <w:pPr>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Context and Risk Impact.</w:t>
      </w:r>
      <w:r>
        <w:rPr>
          <w:rFonts w:ascii="Calibri" w:cs="Calibri" w:eastAsia="Calibri" w:hAnsi="Calibri"/>
          <w:color w:val="404040"/>
          <w:sz w:val="21"/>
          <w:szCs w:val="21"/>
        </w:rPr>
        <w:t xml:space="preserve"> Unclear decision authority during a crisis creates delay, inconsistency, and potential legal exposure, actions taken without proper authorization may not be binding, and hesitation extends the period in which the organization cannot respond effectively.</w:t>
      </w:r>
    </w:p>
    <w:p>
      <w:pPr>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Recommendation.</w:t>
      </w:r>
      <w:r>
        <w:rPr>
          <w:rFonts w:ascii="Calibri" w:cs="Calibri" w:eastAsia="Calibri" w:hAnsi="Calibri"/>
          <w:color w:val="404040"/>
          <w:sz w:val="21"/>
          <w:szCs w:val="21"/>
        </w:rPr>
        <w:t xml:space="preserve"> Document a formal authority succession plan within 90 days covering financial commitments, vendor management, external communications, personnel decisions, and operational changes. Have it reviewed by counsel, approved by the board or ownership, and communicated to everyone in the chain. Review annually.</w:t>
      </w:r>
    </w:p>
    <w:p>
      <w:pPr>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Framework Mapping.</w:t>
      </w:r>
      <w:r>
        <w:rPr>
          <w:rFonts w:ascii="Calibri" w:cs="Calibri" w:eastAsia="Calibri" w:hAnsi="Calibri"/>
          <w:color w:val="404040"/>
          <w:sz w:val="21"/>
          <w:szCs w:val="21"/>
        </w:rPr>
        <w:t xml:space="preserve"> NIST CSF 2.0: GV.RR-01/02</w:t>
      </w:r>
    </w:p>
    <w:p>
      <w:pPr>
        <w:pStyle w:val="Heading3"/>
        <w:keepNext/>
        <w:spacing w:after="90" w:before="200"/>
      </w:pPr>
      <w:r>
        <w:rPr>
          <w:rFonts w:ascii="Calibri" w:cs="Calibri" w:eastAsia="Calibri" w:hAnsi="Calibri"/>
          <w:b/>
          <w:bCs/>
          <w:color w:val="1F3864"/>
          <w:sz w:val="22"/>
          <w:szCs w:val="22"/>
        </w:rPr>
        <w:t xml:space="preserve">INFORMATIONAL  |  Effective Crisis Coordination Under Uncertainty</w:t>
      </w:r>
    </w:p>
    <w:p>
      <w:pPr>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Observation.</w:t>
      </w:r>
      <w:r>
        <w:rPr>
          <w:rFonts w:ascii="Calibri" w:cs="Calibri" w:eastAsia="Calibri" w:hAnsi="Calibri"/>
          <w:color w:val="404040"/>
          <w:sz w:val="21"/>
          <w:szCs w:val="21"/>
        </w:rPr>
        <w:t xml:space="preserve"> Despite the absence of formal succession documentation, the leadership team established an effective ad hoc decision-making structure within approximately 15 minutes of the CEO-unavailability inject. The CFO assumed interim leadership naturally, department heads coordinated information sharing, and the team maintained a collaborative tone without authority disputes.</w:t>
      </w:r>
    </w:p>
    <w:p>
      <w:pPr>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Context and Risk Impact.</w:t>
      </w:r>
      <w:r>
        <w:rPr>
          <w:rFonts w:ascii="Calibri" w:cs="Calibri" w:eastAsia="Calibri" w:hAnsi="Calibri"/>
          <w:color w:val="404040"/>
          <w:sz w:val="21"/>
          <w:szCs w:val="21"/>
        </w:rPr>
        <w:t xml:space="preserve"> The ability to self-organize under crisis conditions reflects strong organizational culture and interpersonal trust. Formal documentation remains essential, but the demonstrated cooperative capability is a significant strength that formal planning should reinforce rather than replace.</w:t>
      </w:r>
    </w:p>
    <w:p>
      <w:pPr>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Recommendation.</w:t>
      </w:r>
      <w:r>
        <w:rPr>
          <w:rFonts w:ascii="Calibri" w:cs="Calibri" w:eastAsia="Calibri" w:hAnsi="Calibri"/>
          <w:color w:val="404040"/>
          <w:sz w:val="21"/>
          <w:szCs w:val="21"/>
        </w:rPr>
        <w:t xml:space="preserve"> Use the structure the team created during the exercise as the starting point for the documented succession plan. Maintain the culture through continued joint exercise participation.</w:t>
      </w:r>
    </w:p>
    <w:p>
      <w:pPr>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Framework Mapping.</w:t>
      </w:r>
      <w:r>
        <w:rPr>
          <w:rFonts w:ascii="Calibri" w:cs="Calibri" w:eastAsia="Calibri" w:hAnsi="Calibri"/>
          <w:color w:val="404040"/>
          <w:sz w:val="21"/>
          <w:szCs w:val="21"/>
        </w:rPr>
        <w:t xml:space="preserve"> NIST CSF 2.0: GV.RR-02</w:t>
      </w:r>
    </w:p>
    <w:p>
      <w:pPr>
        <w:pStyle w:val="Heading1"/>
        <w:keepNext/>
        <w:spacing w:after="140" w:before="320"/>
      </w:pPr>
      <w:r>
        <w:rPr>
          <w:rFonts w:ascii="Calibri" w:cs="Calibri" w:eastAsia="Calibri" w:hAnsi="Calibri"/>
          <w:b/>
          <w:bCs/>
          <w:color w:val="1F3864"/>
          <w:sz w:val="30"/>
          <w:szCs w:val="30"/>
        </w:rPr>
        <w:t xml:space="preserve">5. Natural Disaster / Facility Loss</w:t>
      </w:r>
    </w:p>
    <w:p>
      <w:pPr>
        <w:pStyle w:val="Heading3"/>
        <w:keepNext/>
        <w:spacing w:after="90" w:before="200"/>
      </w:pPr>
      <w:r>
        <w:rPr>
          <w:rFonts w:ascii="Calibri" w:cs="Calibri" w:eastAsia="Calibri" w:hAnsi="Calibri"/>
          <w:b/>
          <w:bCs/>
          <w:color w:val="1F3864"/>
          <w:sz w:val="22"/>
          <w:szCs w:val="22"/>
        </w:rPr>
        <w:t xml:space="preserve">HIGH  |  Business Continuity Plan Obsolete and Untested</w:t>
      </w:r>
    </w:p>
    <w:p>
      <w:pPr>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Observation.</w:t>
      </w:r>
      <w:r>
        <w:rPr>
          <w:rFonts w:ascii="Calibri" w:cs="Calibri" w:eastAsia="Calibri" w:hAnsi="Calibri"/>
          <w:color w:val="404040"/>
          <w:sz w:val="21"/>
          <w:szCs w:val="21"/>
        </w:rPr>
        <w:t xml:space="preserve"> The organization’s business continuity plan was created four years ago and has not been reviewed, updated, or tested since. It references systems, personnel, vendors, and locations that no longer exist. Participants knew the plan existed but had never read it or validated its contents.</w:t>
      </w:r>
    </w:p>
    <w:p>
      <w:pPr>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Context and Risk Impact.</w:t>
      </w:r>
      <w:r>
        <w:rPr>
          <w:rFonts w:ascii="Calibri" w:cs="Calibri" w:eastAsia="Calibri" w:hAnsi="Calibri"/>
          <w:color w:val="404040"/>
          <w:sz w:val="21"/>
          <w:szCs w:val="21"/>
        </w:rPr>
        <w:t xml:space="preserve"> An obsolete BC plan is more dangerous than no plan, because it creates false confidence. In a real facility loss, the organization would follow directions involving departed people, replaced systems, and lapsed vendor arrangements, and the effort to reconcile the plan with reality would consume time needed for actual response.</w:t>
      </w:r>
    </w:p>
    <w:p>
      <w:pPr>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Recommendation.</w:t>
      </w:r>
      <w:r>
        <w:rPr>
          <w:rFonts w:ascii="Calibri" w:cs="Calibri" w:eastAsia="Calibri" w:hAnsi="Calibri"/>
          <w:color w:val="404040"/>
          <w:sz w:val="21"/>
          <w:szCs w:val="21"/>
        </w:rPr>
        <w:t xml:space="preserve"> Conduct a complete BC plan review and update within 60 days, validating all personnel, system, vendor, and facility references. Then walk the updated plan through with all stakeholders, and establish an annual review cadence with a named owner.</w:t>
      </w:r>
    </w:p>
    <w:p>
      <w:pPr>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Framework Mapping.</w:t>
      </w:r>
      <w:r>
        <w:rPr>
          <w:rFonts w:ascii="Calibri" w:cs="Calibri" w:eastAsia="Calibri" w:hAnsi="Calibri"/>
          <w:color w:val="404040"/>
          <w:sz w:val="21"/>
          <w:szCs w:val="21"/>
        </w:rPr>
        <w:t xml:space="preserve"> NIST CSF 2.0: PR.IP-09/10, RC.RP-01</w:t>
      </w:r>
    </w:p>
    <w:p>
      <w:pPr>
        <w:pStyle w:val="Heading3"/>
        <w:keepNext/>
        <w:spacing w:after="90" w:before="200"/>
      </w:pPr>
      <w:r>
        <w:rPr>
          <w:rFonts w:ascii="Calibri" w:cs="Calibri" w:eastAsia="Calibri" w:hAnsi="Calibri"/>
          <w:b/>
          <w:bCs/>
          <w:color w:val="1F3864"/>
          <w:sz w:val="22"/>
          <w:szCs w:val="22"/>
        </w:rPr>
        <w:t xml:space="preserve">MEDIUM  |  No Defined Remote Work Activation Threshold</w:t>
      </w:r>
    </w:p>
    <w:p>
      <w:pPr>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Observation.</w:t>
      </w:r>
      <w:r>
        <w:rPr>
          <w:rFonts w:ascii="Calibri" w:cs="Calibri" w:eastAsia="Calibri" w:hAnsi="Calibri"/>
          <w:color w:val="404040"/>
          <w:sz w:val="21"/>
          <w:szCs w:val="21"/>
        </w:rPr>
        <w:t xml:space="preserve"> No criteria or decision authority exist for activating remote operations when the primary facility is unavailable. Participants debated whether remote work should begin immediately, after 24 hours, or after formal assessment, and no participant could identify who owns the decision.</w:t>
      </w:r>
    </w:p>
    <w:p>
      <w:pPr>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Context and Risk Impact.</w:t>
      </w:r>
      <w:r>
        <w:rPr>
          <w:rFonts w:ascii="Calibri" w:cs="Calibri" w:eastAsia="Calibri" w:hAnsi="Calibri"/>
          <w:color w:val="404040"/>
          <w:sz w:val="21"/>
          <w:szCs w:val="21"/>
        </w:rPr>
        <w:t xml:space="preserve"> Delay in activating remote operations extends disruption unnecessarily. An organization with a defined trigger (“if the facility is inaccessible for more than X hours, remote operations activate automatically”) resumes productive work significantly faster than one that must convene a decision meeting mid-crisis.</w:t>
      </w:r>
    </w:p>
    <w:p>
      <w:pPr>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Recommendation.</w:t>
      </w:r>
      <w:r>
        <w:rPr>
          <w:rFonts w:ascii="Calibri" w:cs="Calibri" w:eastAsia="Calibri" w:hAnsi="Calibri"/>
          <w:color w:val="404040"/>
          <w:sz w:val="21"/>
          <w:szCs w:val="21"/>
        </w:rPr>
        <w:t xml:space="preserve"> Define remote work activation criteria and decision authority within 90 days: automatic triggers, designated authority for edge cases, minimum technology requirements, and an all-employee notification protocol.</w:t>
      </w:r>
    </w:p>
    <w:p>
      <w:pPr>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Framework Mapping.</w:t>
      </w:r>
      <w:r>
        <w:rPr>
          <w:rFonts w:ascii="Calibri" w:cs="Calibri" w:eastAsia="Calibri" w:hAnsi="Calibri"/>
          <w:color w:val="404040"/>
          <w:sz w:val="21"/>
          <w:szCs w:val="21"/>
        </w:rPr>
        <w:t xml:space="preserve"> NIST CSF 2.0: PR.IP-09</w:t>
      </w:r>
    </w:p>
    <w:p>
      <w:pPr>
        <w:pStyle w:val="Heading3"/>
        <w:keepNext/>
        <w:spacing w:after="90" w:before="200"/>
      </w:pPr>
      <w:r>
        <w:rPr>
          <w:rFonts w:ascii="Calibri" w:cs="Calibri" w:eastAsia="Calibri" w:hAnsi="Calibri"/>
          <w:b/>
          <w:bCs/>
          <w:color w:val="1F3864"/>
          <w:sz w:val="22"/>
          <w:szCs w:val="22"/>
        </w:rPr>
        <w:t xml:space="preserve">INFORMATIONAL  |  Employee Safety Protocols Well-Understood</w:t>
      </w:r>
    </w:p>
    <w:p>
      <w:pPr>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Observation.</w:t>
      </w:r>
      <w:r>
        <w:rPr>
          <w:rFonts w:ascii="Calibri" w:cs="Calibri" w:eastAsia="Calibri" w:hAnsi="Calibri"/>
          <w:color w:val="404040"/>
          <w:sz w:val="21"/>
          <w:szCs w:val="21"/>
        </w:rPr>
        <w:t xml:space="preserve"> Participants demonstrated strong familiarity with emergency assembly procedures and communicated employee safety protocols within the first five minutes of the scenario. The designated safety coordinator was immediately identified and assumed the expected role; all participants could articulate the personnel accounting process.</w:t>
      </w:r>
    </w:p>
    <w:p>
      <w:pPr>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Context and Risk Impact.</w:t>
      </w:r>
      <w:r>
        <w:rPr>
          <w:rFonts w:ascii="Calibri" w:cs="Calibri" w:eastAsia="Calibri" w:hAnsi="Calibri"/>
          <w:color w:val="404040"/>
          <w:sz w:val="21"/>
          <w:szCs w:val="21"/>
        </w:rPr>
        <w:t xml:space="preserve"> Employee safety is the foundational priority in any facility loss scenario. The demonstrated capability shows the organization’s safety training investment is producing results and provides a stable foundation for the broader continuity improvements identified elsewhere in this report.</w:t>
      </w:r>
    </w:p>
    <w:p>
      <w:pPr>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Recommendation.</w:t>
      </w:r>
      <w:r>
        <w:rPr>
          <w:rFonts w:ascii="Calibri" w:cs="Calibri" w:eastAsia="Calibri" w:hAnsi="Calibri"/>
          <w:color w:val="404040"/>
          <w:sz w:val="21"/>
          <w:szCs w:val="21"/>
        </w:rPr>
        <w:t xml:space="preserve"> Maintain the current safety training program. Consider periodic refreshers as new employees join, and document this capability as a benchmark in the organization’s resilience baseline.</w:t>
      </w:r>
    </w:p>
    <w:p>
      <w:pPr>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Framework Mapping.</w:t>
      </w:r>
      <w:r>
        <w:rPr>
          <w:rFonts w:ascii="Calibri" w:cs="Calibri" w:eastAsia="Calibri" w:hAnsi="Calibri"/>
          <w:color w:val="404040"/>
          <w:sz w:val="21"/>
          <w:szCs w:val="21"/>
        </w:rPr>
        <w:t xml:space="preserve"> NIST CSF 2.0: PR.AT-01</w:t>
      </w:r>
    </w:p>
    <w:p>
      <w:pPr>
        <w:pStyle w:val="Heading1"/>
        <w:keepNext/>
        <w:spacing w:after="140" w:before="320"/>
      </w:pPr>
      <w:r>
        <w:rPr>
          <w:rFonts w:ascii="Calibri" w:cs="Calibri" w:eastAsia="Calibri" w:hAnsi="Calibri"/>
          <w:b/>
          <w:bCs/>
          <w:color w:val="1F3864"/>
          <w:sz w:val="30"/>
          <w:szCs w:val="30"/>
        </w:rPr>
        <w:t xml:space="preserve">6. Reputation Crisis</w:t>
      </w:r>
    </w:p>
    <w:p>
      <w:pPr>
        <w:pStyle w:val="Heading3"/>
        <w:keepNext/>
        <w:spacing w:after="90" w:before="200"/>
      </w:pPr>
      <w:r>
        <w:rPr>
          <w:rFonts w:ascii="Calibri" w:cs="Calibri" w:eastAsia="Calibri" w:hAnsi="Calibri"/>
          <w:b/>
          <w:bCs/>
          <w:color w:val="1F3864"/>
          <w:sz w:val="22"/>
          <w:szCs w:val="22"/>
        </w:rPr>
        <w:t xml:space="preserve">HIGH  |  No Crisis Communication Plan or Designated Spokesperson</w:t>
      </w:r>
    </w:p>
    <w:p>
      <w:pPr>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Observation.</w:t>
      </w:r>
      <w:r>
        <w:rPr>
          <w:rFonts w:ascii="Calibri" w:cs="Calibri" w:eastAsia="Calibri" w:hAnsi="Calibri"/>
          <w:color w:val="404040"/>
          <w:sz w:val="21"/>
          <w:szCs w:val="21"/>
        </w:rPr>
        <w:t xml:space="preserve"> The organization has no crisis communication plan, no designated spokesperson, and no pre-approved messaging for public-facing incidents. When the scenario introduced negative social media coverage and press inquiries, participants were uncertain who should respond, through which channels, and with what authority. The default suggestion was to “not respond and hope it goes away.”</w:t>
      </w:r>
    </w:p>
    <w:p>
      <w:pPr>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Context and Risk Impact.</w:t>
      </w:r>
      <w:r>
        <w:rPr>
          <w:rFonts w:ascii="Calibri" w:cs="Calibri" w:eastAsia="Calibri" w:hAnsi="Calibri"/>
          <w:color w:val="404040"/>
          <w:sz w:val="21"/>
          <w:szCs w:val="21"/>
        </w:rPr>
        <w:t xml:space="preserve"> A public-facing incident that receives no organizational response within hours is read as confirmation of the worst assumptions, and social media amplification can turn a local incident into a national story within one news cycle. The “don’t respond” instinct hands the narrative to external parties and removes the organization’s ability to shape the outcome.</w:t>
      </w:r>
    </w:p>
    <w:p>
      <w:pPr>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Recommendation.</w:t>
      </w:r>
      <w:r>
        <w:rPr>
          <w:rFonts w:ascii="Calibri" w:cs="Calibri" w:eastAsia="Calibri" w:hAnsi="Calibri"/>
          <w:color w:val="404040"/>
          <w:sz w:val="21"/>
          <w:szCs w:val="21"/>
        </w:rPr>
        <w:t xml:space="preserve"> Develop a crisis communication plan within 60 days: designated primary and backup spokespersons with media training, pre-approved holding statements for common crisis categories, a rapid approval workflow (maximum 2-hour cycle), channel-specific protocols, and escalation criteria for outside PR support. Validate through a dedicated communication exercise.</w:t>
      </w:r>
    </w:p>
    <w:p>
      <w:pPr>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Framework Mapping.</w:t>
      </w:r>
      <w:r>
        <w:rPr>
          <w:rFonts w:ascii="Calibri" w:cs="Calibri" w:eastAsia="Calibri" w:hAnsi="Calibri"/>
          <w:color w:val="404040"/>
          <w:sz w:val="21"/>
          <w:szCs w:val="21"/>
        </w:rPr>
        <w:t xml:space="preserve"> NIST CSF 2.0: RS.CO-02</w:t>
      </w:r>
    </w:p>
    <w:p>
      <w:pPr>
        <w:pStyle w:val="Heading3"/>
        <w:keepNext/>
        <w:spacing w:after="90" w:before="200"/>
      </w:pPr>
      <w:r>
        <w:rPr>
          <w:rFonts w:ascii="Calibri" w:cs="Calibri" w:eastAsia="Calibri" w:hAnsi="Calibri"/>
          <w:b/>
          <w:bCs/>
          <w:color w:val="1F3864"/>
          <w:sz w:val="22"/>
          <w:szCs w:val="22"/>
        </w:rPr>
        <w:t xml:space="preserve">MEDIUM  |  No Social Media Monitoring or Escalation Process</w:t>
      </w:r>
    </w:p>
    <w:p>
      <w:pPr>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Observation.</w:t>
      </w:r>
      <w:r>
        <w:rPr>
          <w:rFonts w:ascii="Calibri" w:cs="Calibri" w:eastAsia="Calibri" w:hAnsi="Calibri"/>
          <w:color w:val="404040"/>
          <w:sz w:val="21"/>
          <w:szCs w:val="21"/>
        </w:rPr>
        <w:t xml:space="preserve"> The organization does not monitor social media for mentions of itself, its leadership, or its services. The scenario’s crisis was introduced by the facilitator; in a real event, the organization would likely learn of the crisis only after significant escalation, shrinking the window for effective response.</w:t>
      </w:r>
    </w:p>
    <w:p>
      <w:pPr>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Context and Risk Impact.</w:t>
      </w:r>
      <w:r>
        <w:rPr>
          <w:rFonts w:ascii="Calibri" w:cs="Calibri" w:eastAsia="Calibri" w:hAnsi="Calibri"/>
          <w:color w:val="404040"/>
          <w:sz w:val="21"/>
          <w:szCs w:val="21"/>
        </w:rPr>
        <w:t xml:space="preserve"> Early awareness of a reputation event preserves options, proactive response, stakeholder preparation, direct engagement. Late awareness forces reactive mode, responding to a narrative others have already established.</w:t>
      </w:r>
    </w:p>
    <w:p>
      <w:pPr>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Recommendation.</w:t>
      </w:r>
      <w:r>
        <w:rPr>
          <w:rFonts w:ascii="Calibri" w:cs="Calibri" w:eastAsia="Calibri" w:hAnsi="Calibri"/>
          <w:color w:val="404040"/>
          <w:sz w:val="21"/>
          <w:szCs w:val="21"/>
        </w:rPr>
        <w:t xml:space="preserve"> Implement basic social media monitoring within 90 days using free or low-cost tooling. Define escalation criteria, name a responsible owner, and document the path from monitoring to response. The process does not need to be sophisticated, it needs to exist.</w:t>
      </w:r>
    </w:p>
    <w:p>
      <w:pPr>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Framework Mapping.</w:t>
      </w:r>
      <w:r>
        <w:rPr>
          <w:rFonts w:ascii="Calibri" w:cs="Calibri" w:eastAsia="Calibri" w:hAnsi="Calibri"/>
          <w:color w:val="404040"/>
          <w:sz w:val="21"/>
          <w:szCs w:val="21"/>
        </w:rPr>
        <w:t xml:space="preserve"> NIST CSF 2.0: DE.CM-01 (adapted), RS.CO-02</w:t>
      </w:r>
    </w:p>
    <w:p>
      <w:pPr>
        <w:pStyle w:val="Heading3"/>
        <w:keepNext/>
        <w:spacing w:after="90" w:before="200"/>
      </w:pPr>
      <w:r>
        <w:rPr>
          <w:rFonts w:ascii="Calibri" w:cs="Calibri" w:eastAsia="Calibri" w:hAnsi="Calibri"/>
          <w:b/>
          <w:bCs/>
          <w:color w:val="1F3864"/>
          <w:sz w:val="22"/>
          <w:szCs w:val="22"/>
        </w:rPr>
        <w:t xml:space="preserve">INFORMATIONAL  |  Leadership Composure Under Public Scrutiny</w:t>
      </w:r>
    </w:p>
    <w:p>
      <w:pPr>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Observation.</w:t>
      </w:r>
      <w:r>
        <w:rPr>
          <w:rFonts w:ascii="Calibri" w:cs="Calibri" w:eastAsia="Calibri" w:hAnsi="Calibri"/>
          <w:color w:val="404040"/>
          <w:sz w:val="21"/>
          <w:szCs w:val="21"/>
        </w:rPr>
        <w:t xml:space="preserve"> The executive team maintained a measured, professional demeanor as the scenario introduced increasingly critical coverage. Participants avoided impulsive reactions, sought consensus before committing to responses, and correctly identified the need for legal review before public statements.</w:t>
      </w:r>
    </w:p>
    <w:p>
      <w:pPr>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Context and Risk Impact.</w:t>
      </w:r>
      <w:r>
        <w:rPr>
          <w:rFonts w:ascii="Calibri" w:cs="Calibri" w:eastAsia="Calibri" w:hAnsi="Calibri"/>
          <w:color w:val="404040"/>
          <w:sz w:val="21"/>
          <w:szCs w:val="21"/>
        </w:rPr>
        <w:t xml:space="preserve"> Composure under public scrutiny cannot be trained through documentation alone. The demonstrated restraint and appropriate consultation instincts are organizational strengths that a formal communication plan should channel, not replace.</w:t>
      </w:r>
    </w:p>
    <w:p>
      <w:pPr>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Recommendation.</w:t>
      </w:r>
      <w:r>
        <w:rPr>
          <w:rFonts w:ascii="Calibri" w:cs="Calibri" w:eastAsia="Calibri" w:hAnsi="Calibri"/>
          <w:color w:val="404040"/>
          <w:sz w:val="21"/>
          <w:szCs w:val="21"/>
        </w:rPr>
        <w:t xml:space="preserve"> Preserve this capability through continued exercise participation, and use the communication plan recommended elsewhere in this report to give it a structured, repeatable process. Consider media training to further develop it.</w:t>
      </w:r>
    </w:p>
    <w:p>
      <w:pPr>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Framework Mapping.</w:t>
      </w:r>
      <w:r>
        <w:rPr>
          <w:rFonts w:ascii="Calibri" w:cs="Calibri" w:eastAsia="Calibri" w:hAnsi="Calibri"/>
          <w:color w:val="404040"/>
          <w:sz w:val="21"/>
          <w:szCs w:val="21"/>
        </w:rPr>
        <w:t xml:space="preserve"> NIST CSF 2.0: RS.CO-02</w:t>
      </w:r>
    </w:p>
    <w:p>
      <w:pPr>
        <w:pStyle w:val="Heading1"/>
        <w:keepNext/>
        <w:spacing w:after="140" w:before="320"/>
      </w:pPr>
      <w:r>
        <w:rPr>
          <w:rFonts w:ascii="Calibri" w:cs="Calibri" w:eastAsia="Calibri" w:hAnsi="Calibri"/>
          <w:b/>
          <w:bCs/>
          <w:color w:val="1F3864"/>
          <w:sz w:val="30"/>
          <w:szCs w:val="30"/>
        </w:rPr>
        <w:t xml:space="preserve">7. Cross-Cutting Findings</w:t>
      </w:r>
    </w:p>
    <w:p>
      <w:pPr>
        <w:pStyle w:val="Heading3"/>
        <w:keepNext/>
        <w:spacing w:after="90" w:before="200"/>
      </w:pPr>
      <w:r>
        <w:rPr>
          <w:rFonts w:ascii="Calibri" w:cs="Calibri" w:eastAsia="Calibri" w:hAnsi="Calibri"/>
          <w:b/>
          <w:bCs/>
          <w:color w:val="1F3864"/>
          <w:sz w:val="22"/>
          <w:szCs w:val="22"/>
        </w:rPr>
        <w:t xml:space="preserve">HIGH  |  Incident Response Plan Does Not Exist or Has Never Been Tested</w:t>
      </w:r>
    </w:p>
    <w:p>
      <w:pPr>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Observation.</w:t>
      </w:r>
      <w:r>
        <w:rPr>
          <w:rFonts w:ascii="Calibri" w:cs="Calibri" w:eastAsia="Calibri" w:hAnsi="Calibri"/>
          <w:color w:val="404040"/>
          <w:sz w:val="21"/>
          <w:szCs w:val="21"/>
        </w:rPr>
        <w:t xml:space="preserve"> The exercise revealed that the organization [does not have a documented incident response plan / has a plan that has never been tested, reviewed, or updated since creation]. Participants [could not reference any documented procedures / referenced a plan but were unfamiliar with its contents and could not locate it during the exercise].</w:t>
      </w:r>
    </w:p>
    <w:p>
      <w:pPr>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Context and Risk Impact.</w:t>
      </w:r>
      <w:r>
        <w:rPr>
          <w:rFonts w:ascii="Calibri" w:cs="Calibri" w:eastAsia="Calibri" w:hAnsi="Calibri"/>
          <w:color w:val="404040"/>
          <w:sz w:val="21"/>
          <w:szCs w:val="21"/>
        </w:rPr>
        <w:t xml:space="preserve"> [Without a plan: an undocumented response relies entirely on individual knowledge and improvisation, the exercise demonstrated that participants hold varying and sometimes contradictory understandings of roles and procedures.] [With an untested plan: an untested plan provides false assurance, the exercise demonstrated gaps between documented procedures and current capabilities, systems, and personnel.]</w:t>
      </w:r>
    </w:p>
    <w:p>
      <w:pPr>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Recommendation.</w:t>
      </w:r>
      <w:r>
        <w:rPr>
          <w:rFonts w:ascii="Calibri" w:cs="Calibri" w:eastAsia="Calibri" w:hAnsi="Calibri"/>
          <w:color w:val="404040"/>
          <w:sz w:val="21"/>
          <w:szCs w:val="21"/>
        </w:rPr>
        <w:t xml:space="preserve"> [Without: develop a documented incident response plan within 60 days using NIST SP 800-61 as a framework, roles, classification levels, escalation, communication, evidence preservation, and recovery priorities, and validate it through a tabletop exercise within 30 days of completion.] [With: conduct a comprehensive review and update within 60 days, validating all personnel, systems, and procedures against current reality, then test.]</w:t>
      </w:r>
    </w:p>
    <w:p>
      <w:pPr>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Framework Mapping.</w:t>
      </w:r>
      <w:r>
        <w:rPr>
          <w:rFonts w:ascii="Calibri" w:cs="Calibri" w:eastAsia="Calibri" w:hAnsi="Calibri"/>
          <w:color w:val="404040"/>
          <w:sz w:val="21"/>
          <w:szCs w:val="21"/>
        </w:rPr>
        <w:t xml:space="preserve"> NIST CSF 2.0: RS.RP-01; NIST SP 800-61</w:t>
      </w:r>
    </w:p>
    <w:p>
      <w:pPr>
        <w:pStyle w:val="Heading3"/>
        <w:keepNext/>
        <w:spacing w:after="90" w:before="200"/>
      </w:pPr>
      <w:r>
        <w:rPr>
          <w:rFonts w:ascii="Calibri" w:cs="Calibri" w:eastAsia="Calibri" w:hAnsi="Calibri"/>
          <w:b/>
          <w:bCs/>
          <w:color w:val="1F3864"/>
          <w:sz w:val="22"/>
          <w:szCs w:val="22"/>
        </w:rPr>
        <w:t xml:space="preserve">HIGH  |  No Defined Escalation Thresholds or Decision Authority</w:t>
      </w:r>
    </w:p>
    <w:p>
      <w:pPr>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Observation.</w:t>
      </w:r>
      <w:r>
        <w:rPr>
          <w:rFonts w:ascii="Calibri" w:cs="Calibri" w:eastAsia="Calibri" w:hAnsi="Calibri"/>
          <w:color w:val="404040"/>
          <w:sz w:val="21"/>
          <w:szCs w:val="21"/>
        </w:rPr>
        <w:t xml:space="preserve"> No defined criteria exist for escalating incidents from operational response to executive involvement, legal engagement, law enforcement, or insurance notification. Participants repeatedly asked “at what point do we call [legal counsel / the CEO / our carrier]?” without arriving at a consistent answer.</w:t>
      </w:r>
    </w:p>
    <w:p>
      <w:pPr>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Context and Risk Impact.</w:t>
      </w:r>
      <w:r>
        <w:rPr>
          <w:rFonts w:ascii="Calibri" w:cs="Calibri" w:eastAsia="Calibri" w:hAnsi="Calibri"/>
          <w:color w:val="404040"/>
          <w:sz w:val="21"/>
          <w:szCs w:val="21"/>
        </w:rPr>
        <w:t xml:space="preserve"> Undefined thresholds create both premature escalation (executives overwhelmed with operational decisions) and delayed escalation (critical decision-makers engaged after options have narrowed). Both patterns appeared during the exercise, and real-time negotiation about escalation consumes attention the response needs.</w:t>
      </w:r>
    </w:p>
    <w:p>
      <w:pPr>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Recommendation.</w:t>
      </w:r>
      <w:r>
        <w:rPr>
          <w:rFonts w:ascii="Calibri" w:cs="Calibri" w:eastAsia="Calibri" w:hAnsi="Calibri"/>
          <w:color w:val="404040"/>
          <w:sz w:val="21"/>
          <w:szCs w:val="21"/>
        </w:rPr>
        <w:t xml:space="preserve"> Define escalation thresholds for all incident classification levels within 60 days: trigger criteria, escalation target, required information, and expected response time, covering executives, counsel, law enforcement, carriers, and regulators. Document in the IR plan and communicate to all response team members.</w:t>
      </w:r>
    </w:p>
    <w:p>
      <w:pPr>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Framework Mapping.</w:t>
      </w:r>
      <w:r>
        <w:rPr>
          <w:rFonts w:ascii="Calibri" w:cs="Calibri" w:eastAsia="Calibri" w:hAnsi="Calibri"/>
          <w:color w:val="404040"/>
          <w:sz w:val="21"/>
          <w:szCs w:val="21"/>
        </w:rPr>
        <w:t xml:space="preserve"> NIST CSF 2.0: RS.CO-03 (Information Sharing)</w:t>
      </w:r>
    </w:p>
    <w:p>
      <w:pPr>
        <w:pStyle w:val="Heading3"/>
        <w:keepNext/>
        <w:spacing w:after="90" w:before="200"/>
      </w:pPr>
      <w:r>
        <w:rPr>
          <w:rFonts w:ascii="Calibri" w:cs="Calibri" w:eastAsia="Calibri" w:hAnsi="Calibri"/>
          <w:b/>
          <w:bCs/>
          <w:color w:val="1F3864"/>
          <w:sz w:val="22"/>
          <w:szCs w:val="22"/>
        </w:rPr>
        <w:t xml:space="preserve">MEDIUM  |  Internal Communication Plan During Incidents Not Documented</w:t>
      </w:r>
    </w:p>
    <w:p>
      <w:pPr>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Observation.</w:t>
      </w:r>
      <w:r>
        <w:rPr>
          <w:rFonts w:ascii="Calibri" w:cs="Calibri" w:eastAsia="Calibri" w:hAnsi="Calibri"/>
          <w:color w:val="404040"/>
          <w:sz w:val="21"/>
          <w:szCs w:val="21"/>
        </w:rPr>
        <w:t xml:space="preserve"> No documented plan exists for internal employee communication during a disruption. Participants proposed “all-hands email” as the primary channel while acknowledging email may be unavailable in several incident types. No backup channel has been identified or tested.</w:t>
      </w:r>
    </w:p>
    <w:p>
      <w:pPr>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Context and Risk Impact.</w:t>
      </w:r>
      <w:r>
        <w:rPr>
          <w:rFonts w:ascii="Calibri" w:cs="Calibri" w:eastAsia="Calibri" w:hAnsi="Calibri"/>
          <w:color w:val="404040"/>
          <w:sz w:val="21"/>
          <w:szCs w:val="21"/>
        </w:rPr>
        <w:t xml:space="preserve"> Uninformed employees take well-intentioned actions that complicate response, posting on social media, contacting customers independently, attempting uncoordinated fixes. A documented internal communication plan keeps messaging consistent and prevents information vacuums.</w:t>
      </w:r>
    </w:p>
    <w:p>
      <w:pPr>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Recommendation.</w:t>
      </w:r>
      <w:r>
        <w:rPr>
          <w:rFonts w:ascii="Calibri" w:cs="Calibri" w:eastAsia="Calibri" w:hAnsi="Calibri"/>
          <w:color w:val="404040"/>
          <w:sz w:val="21"/>
          <w:szCs w:val="21"/>
        </w:rPr>
        <w:t xml:space="preserve"> Develop an internal incident communication plan within 90 days: a primary and a tested backup channel, pre-drafted employee notifications for common incident types, designated communication leads per department, and social-media guidelines for staff during incidents.</w:t>
      </w:r>
    </w:p>
    <w:p>
      <w:pPr>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Framework Mapping.</w:t>
      </w:r>
      <w:r>
        <w:rPr>
          <w:rFonts w:ascii="Calibri" w:cs="Calibri" w:eastAsia="Calibri" w:hAnsi="Calibri"/>
          <w:color w:val="404040"/>
          <w:sz w:val="21"/>
          <w:szCs w:val="21"/>
        </w:rPr>
        <w:t xml:space="preserve"> NIST CSF 2.0: RS.CO-02</w:t>
      </w:r>
    </w:p>
    <w:p>
      <w:pPr>
        <w:pStyle w:val="Heading3"/>
        <w:keepNext/>
        <w:spacing w:after="90" w:before="200"/>
      </w:pPr>
      <w:r>
        <w:rPr>
          <w:rFonts w:ascii="Calibri" w:cs="Calibri" w:eastAsia="Calibri" w:hAnsi="Calibri"/>
          <w:b/>
          <w:bCs/>
          <w:color w:val="1F3864"/>
          <w:sz w:val="22"/>
          <w:szCs w:val="22"/>
        </w:rPr>
        <w:t xml:space="preserve">MEDIUM  |  Insurance Policy Terms Not Understood by the Response Team</w:t>
      </w:r>
    </w:p>
    <w:p>
      <w:pPr>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Observation.</w:t>
      </w:r>
      <w:r>
        <w:rPr>
          <w:rFonts w:ascii="Calibri" w:cs="Calibri" w:eastAsia="Calibri" w:hAnsi="Calibri"/>
          <w:color w:val="404040"/>
          <w:sz w:val="21"/>
          <w:szCs w:val="21"/>
        </w:rPr>
        <w:t xml:space="preserve"> No member of the response team could articulate the organization’s cyber insurance policy terms, coverage limits, notification requirements, or exclusions. When the scenario required a carrier notification decision, participants were uncertain whether a policy existed and what obligations it imposed.</w:t>
      </w:r>
    </w:p>
    <w:p>
      <w:pPr>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Context and Risk Impact.</w:t>
      </w:r>
      <w:r>
        <w:rPr>
          <w:rFonts w:ascii="Calibri" w:cs="Calibri" w:eastAsia="Calibri" w:hAnsi="Calibri"/>
          <w:color w:val="404040"/>
          <w:sz w:val="21"/>
          <w:szCs w:val="21"/>
        </w:rPr>
        <w:t xml:space="preserve"> Cyber policies typically contain notification deadlines (often 24–72 hours), approved vendor panels, and exclusions tied to pre-incident posture. A response team unaware of these terms can inadvertently void coverage, engaging non-approved vendors, missing windows, or triggering exclusions.</w:t>
      </w:r>
    </w:p>
    <w:p>
      <w:pPr>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Recommendation.</w:t>
      </w:r>
      <w:r>
        <w:rPr>
          <w:rFonts w:ascii="Calibri" w:cs="Calibri" w:eastAsia="Calibri" w:hAnsi="Calibri"/>
          <w:color w:val="404040"/>
          <w:sz w:val="21"/>
          <w:szCs w:val="21"/>
        </w:rPr>
        <w:t xml:space="preserve"> Hold an insurance policy review session with the response team within 60 days. Distribute a one-page summary of key terms, coverage, notification contacts and deadlines, approved vendors, exclusions, claims process, stored alongside the IR plan and refreshed at each renewal.</w:t>
      </w:r>
    </w:p>
    <w:p>
      <w:pPr>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Framework Mapping.</w:t>
      </w:r>
      <w:r>
        <w:rPr>
          <w:rFonts w:ascii="Calibri" w:cs="Calibri" w:eastAsia="Calibri" w:hAnsi="Calibri"/>
          <w:color w:val="404040"/>
          <w:sz w:val="21"/>
          <w:szCs w:val="21"/>
        </w:rPr>
        <w:t xml:space="preserve"> NIST CSF 2.0: GV.OC-03, RS.CO-03</w:t>
      </w:r>
    </w:p>
    <w:p>
      <w:pPr>
        <w:pStyle w:val="Heading3"/>
        <w:keepNext/>
        <w:spacing w:after="90" w:before="200"/>
      </w:pPr>
      <w:r>
        <w:rPr>
          <w:rFonts w:ascii="Calibri" w:cs="Calibri" w:eastAsia="Calibri" w:hAnsi="Calibri"/>
          <w:b/>
          <w:bCs/>
          <w:color w:val="1F3864"/>
          <w:sz w:val="22"/>
          <w:szCs w:val="22"/>
        </w:rPr>
        <w:t xml:space="preserve">LOW  |  No Post-Incident Review Process Documented</w:t>
      </w:r>
    </w:p>
    <w:p>
      <w:pPr>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Observation.</w:t>
      </w:r>
      <w:r>
        <w:rPr>
          <w:rFonts w:ascii="Calibri" w:cs="Calibri" w:eastAsia="Calibri" w:hAnsi="Calibri"/>
          <w:color w:val="404040"/>
          <w:sz w:val="21"/>
          <w:szCs w:val="21"/>
        </w:rPr>
        <w:t xml:space="preserve"> No documented process exists for post-incident review. The organization has not experienced a recent significant incident, but minor incidents and near-misses are not being captured as learning opportunities.</w:t>
      </w:r>
    </w:p>
    <w:p>
      <w:pPr>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Context and Risk Impact.</w:t>
      </w:r>
      <w:r>
        <w:rPr>
          <w:rFonts w:ascii="Calibri" w:cs="Calibri" w:eastAsia="Calibri" w:hAnsi="Calibri"/>
          <w:color w:val="404040"/>
          <w:sz w:val="21"/>
          <w:szCs w:val="21"/>
        </w:rPr>
        <w:t xml:space="preserve"> Organizations without a review discipline repeat mistakes and miss inexpensive improvements. A documented process ensures every incident, regardless of severity, contributes to organizational learning.</w:t>
      </w:r>
    </w:p>
    <w:p>
      <w:pPr>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Recommendation.</w:t>
      </w:r>
      <w:r>
        <w:rPr>
          <w:rFonts w:ascii="Calibri" w:cs="Calibri" w:eastAsia="Calibri" w:hAnsi="Calibri"/>
          <w:color w:val="404040"/>
          <w:sz w:val="21"/>
          <w:szCs w:val="21"/>
        </w:rPr>
        <w:t xml:space="preserve"> Add a post-incident review procedure to the IR plan within 120 days: when a review is required, who participates, the format and timeline, and how improvement actions are tracked, reusing this engagement’s Improvement Plan format for consistency.</w:t>
      </w:r>
    </w:p>
    <w:p>
      <w:pPr>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Framework Mapping.</w:t>
      </w:r>
      <w:r>
        <w:rPr>
          <w:rFonts w:ascii="Calibri" w:cs="Calibri" w:eastAsia="Calibri" w:hAnsi="Calibri"/>
          <w:color w:val="404040"/>
          <w:sz w:val="21"/>
          <w:szCs w:val="21"/>
        </w:rPr>
        <w:t xml:space="preserve"> NIST CSF 2.0: RS.IM-01 (adapted), ID.IM-03</w:t>
      </w:r>
    </w:p>
    <w:p>
      <w:pPr>
        <w:pStyle w:val="Heading3"/>
        <w:keepNext/>
        <w:spacing w:after="90" w:before="200"/>
      </w:pPr>
      <w:r>
        <w:rPr>
          <w:rFonts w:ascii="Calibri" w:cs="Calibri" w:eastAsia="Calibri" w:hAnsi="Calibri"/>
          <w:b/>
          <w:bCs/>
          <w:color w:val="1F3864"/>
          <w:sz w:val="22"/>
          <w:szCs w:val="22"/>
        </w:rPr>
        <w:t xml:space="preserve">LOW  |  External Stakeholder Contact List Not Maintained</w:t>
      </w:r>
    </w:p>
    <w:p>
      <w:pPr>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Observation.</w:t>
      </w:r>
      <w:r>
        <w:rPr>
          <w:rFonts w:ascii="Calibri" w:cs="Calibri" w:eastAsia="Calibri" w:hAnsi="Calibri"/>
          <w:color w:val="404040"/>
          <w:sz w:val="21"/>
          <w:szCs w:val="21"/>
        </w:rPr>
        <w:t xml:space="preserve"> No current, centralized list exists of external contacts needed during an incident. Participants searched for counsel, carrier, forensics, and regulatory contacts across inboxes, personal phones, and documents of varying age.</w:t>
      </w:r>
    </w:p>
    <w:p>
      <w:pPr>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Context and Risk Impact.</w:t>
      </w:r>
      <w:r>
        <w:rPr>
          <w:rFonts w:ascii="Calibri" w:cs="Calibri" w:eastAsia="Calibri" w:hAnsi="Calibri"/>
          <w:color w:val="404040"/>
          <w:sz w:val="21"/>
          <w:szCs w:val="21"/>
        </w:rPr>
        <w:t xml:space="preserve"> Searching for contact information during an active incident wastes time and risks missed or late notifications, a preventable source of delay.</w:t>
      </w:r>
    </w:p>
    <w:p>
      <w:pPr>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Recommendation.</w:t>
      </w:r>
      <w:r>
        <w:rPr>
          <w:rFonts w:ascii="Calibri" w:cs="Calibri" w:eastAsia="Calibri" w:hAnsi="Calibri"/>
          <w:color w:val="404040"/>
          <w:sz w:val="21"/>
          <w:szCs w:val="21"/>
        </w:rPr>
        <w:t xml:space="preserve"> Create a centralized incident contact list within 90 days, counsel, carrier (policy and claims numbers), forensics, law enforcement, regulators, key vendors, PR support, accessible from personal devices, reviewed quarterly.</w:t>
      </w:r>
    </w:p>
    <w:p>
      <w:pPr>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Framework Mapping.</w:t>
      </w:r>
      <w:r>
        <w:rPr>
          <w:rFonts w:ascii="Calibri" w:cs="Calibri" w:eastAsia="Calibri" w:hAnsi="Calibri"/>
          <w:color w:val="404040"/>
          <w:sz w:val="21"/>
          <w:szCs w:val="21"/>
        </w:rPr>
        <w:t xml:space="preserve"> NIST CSF 2.0: RS.CO-01/03</w:t>
      </w:r>
    </w:p>
    <w:p>
      <w:pPr>
        <w:pStyle w:val="Heading1"/>
        <w:keepNext/>
        <w:spacing w:after="140" w:before="320"/>
      </w:pPr>
      <w:r>
        <w:rPr>
          <w:rFonts w:ascii="Calibri" w:cs="Calibri" w:eastAsia="Calibri" w:hAnsi="Calibri"/>
          <w:b/>
          <w:bCs/>
          <w:color w:val="1F3864"/>
          <w:sz w:val="30"/>
          <w:szCs w:val="30"/>
        </w:rPr>
        <w:t xml:space="preserve">8. Strength Findings</w:t>
      </w:r>
    </w:p>
    <w:p>
      <w:pPr>
        <w:spacing w:after="120" w:before="0" w:line="276"/>
      </w:pPr>
      <w:r>
        <w:rPr>
          <w:rFonts w:ascii="Calibri" w:cs="Calibri" w:eastAsia="Calibri" w:hAnsi="Calibri"/>
          <w:color w:val="404040"/>
          <w:sz w:val="21"/>
          <w:szCs w:val="21"/>
        </w:rPr>
        <w:t xml:space="preserve">Every AAR must include strength findings, minimum three. The following demonstrate the same rigor and specificity applied to positive observations. Strength findings use the Informational rating.</w:t>
      </w:r>
    </w:p>
    <w:p>
      <w:pPr>
        <w:pStyle w:val="Heading3"/>
        <w:keepNext/>
        <w:spacing w:after="90" w:before="200"/>
      </w:pPr>
      <w:r>
        <w:rPr>
          <w:rFonts w:ascii="Calibri" w:cs="Calibri" w:eastAsia="Calibri" w:hAnsi="Calibri"/>
          <w:b/>
          <w:bCs/>
          <w:color w:val="1F3864"/>
          <w:sz w:val="22"/>
          <w:szCs w:val="22"/>
        </w:rPr>
        <w:t xml:space="preserve">INFORMATIONAL  |  Executive Leadership Actively Participated and Demonstrated Decision Authority</w:t>
      </w:r>
    </w:p>
    <w:p>
      <w:pPr>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Observation.</w:t>
      </w:r>
      <w:r>
        <w:rPr>
          <w:rFonts w:ascii="Calibri" w:cs="Calibri" w:eastAsia="Calibri" w:hAnsi="Calibri"/>
          <w:color w:val="404040"/>
          <w:sz w:val="21"/>
          <w:szCs w:val="21"/>
        </w:rPr>
        <w:t xml:space="preserve"> The CEO and CFO participated actively throughout the exercise, making decisions within their authority, asking clarifying questions, and deferring appropriately to functional leaders on specialized matters. Executive engagement was sustained for the full duration without delegation to subordinates.</w:t>
      </w:r>
    </w:p>
    <w:p>
      <w:pPr>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Context and Risk Impact.</w:t>
      </w:r>
      <w:r>
        <w:rPr>
          <w:rFonts w:ascii="Calibri" w:cs="Calibri" w:eastAsia="Calibri" w:hAnsi="Calibri"/>
          <w:color w:val="404040"/>
          <w:sz w:val="21"/>
          <w:szCs w:val="21"/>
        </w:rPr>
        <w:t xml:space="preserve"> Active executive participation is the single strongest predictor of exercise effectiveness and post-exercise improvement. Organizations whose executives participate directly are significantly more likely to implement remediation and sustain investment.</w:t>
      </w:r>
    </w:p>
    <w:p>
      <w:pPr>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Recommendation.</w:t>
      </w:r>
      <w:r>
        <w:rPr>
          <w:rFonts w:ascii="Calibri" w:cs="Calibri" w:eastAsia="Calibri" w:hAnsi="Calibri"/>
          <w:color w:val="404040"/>
          <w:sz w:val="21"/>
          <w:szCs w:val="21"/>
        </w:rPr>
        <w:t xml:space="preserve"> Maintain executive participation in all future exercises, and extend it to remediation prioritization and the After-Action Meeting.</w:t>
      </w:r>
    </w:p>
    <w:p>
      <w:pPr>
        <w:pStyle w:val="Heading3"/>
        <w:keepNext/>
        <w:spacing w:after="90" w:before="200"/>
      </w:pPr>
      <w:r>
        <w:rPr>
          <w:rFonts w:ascii="Calibri" w:cs="Calibri" w:eastAsia="Calibri" w:hAnsi="Calibri"/>
          <w:b/>
          <w:bCs/>
          <w:color w:val="1F3864"/>
          <w:sz w:val="22"/>
          <w:szCs w:val="22"/>
        </w:rPr>
        <w:t xml:space="preserve">INFORMATIONAL  |  Incident Classification Performed Correctly and Efficiently</w:t>
      </w:r>
    </w:p>
    <w:p>
      <w:pPr>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Observation.</w:t>
      </w:r>
      <w:r>
        <w:rPr>
          <w:rFonts w:ascii="Calibri" w:cs="Calibri" w:eastAsia="Calibri" w:hAnsi="Calibri"/>
          <w:color w:val="404040"/>
          <w:sz w:val="21"/>
          <w:szCs w:val="21"/>
        </w:rPr>
        <w:t xml:space="preserve"> Participants correctly classified the incident severity within the first 15 minutes using the organization’s documented criteria. Classification triggered the appropriate notification chain, and subsequent decisions were made in the context of the correct severity level.</w:t>
      </w:r>
    </w:p>
    <w:p>
      <w:pPr>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Context and Risk Impact.</w:t>
      </w:r>
      <w:r>
        <w:rPr>
          <w:rFonts w:ascii="Calibri" w:cs="Calibri" w:eastAsia="Calibri" w:hAnsi="Calibri"/>
          <w:color w:val="404040"/>
          <w:sz w:val="21"/>
          <w:szCs w:val="21"/>
        </w:rPr>
        <w:t xml:space="preserve"> Accurate classification is the foundation of proportional response, the right resources, the right decision-makers, at the right time, avoiding both over- and under-response.</w:t>
      </w:r>
    </w:p>
    <w:p>
      <w:pPr>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Recommendation.</w:t>
      </w:r>
      <w:r>
        <w:rPr>
          <w:rFonts w:ascii="Calibri" w:cs="Calibri" w:eastAsia="Calibri" w:hAnsi="Calibri"/>
          <w:color w:val="404040"/>
          <w:sz w:val="21"/>
          <w:szCs w:val="21"/>
        </w:rPr>
        <w:t xml:space="preserve"> Maintain the classification framework, train new response team members on it, and periodically review the criteria against the current threat landscape.</w:t>
      </w:r>
    </w:p>
    <w:p>
      <w:pPr>
        <w:pStyle w:val="Heading3"/>
        <w:keepNext/>
        <w:spacing w:after="90" w:before="200"/>
      </w:pPr>
      <w:r>
        <w:rPr>
          <w:rFonts w:ascii="Calibri" w:cs="Calibri" w:eastAsia="Calibri" w:hAnsi="Calibri"/>
          <w:b/>
          <w:bCs/>
          <w:color w:val="1F3864"/>
          <w:sz w:val="22"/>
          <w:szCs w:val="22"/>
        </w:rPr>
        <w:t xml:space="preserve">INFORMATIONAL  |  Cross-Departmental Collaboration Demonstrated Effectively</w:t>
      </w:r>
    </w:p>
    <w:p>
      <w:pPr>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Observation.</w:t>
      </w:r>
      <w:r>
        <w:rPr>
          <w:rFonts w:ascii="Calibri" w:cs="Calibri" w:eastAsia="Calibri" w:hAnsi="Calibri"/>
          <w:color w:val="404040"/>
          <w:sz w:val="21"/>
          <w:szCs w:val="21"/>
        </w:rPr>
        <w:t xml:space="preserve"> Participants from IT, Legal, HR, Finance, and Operations shared information proactively and collaborated on joint decisions without friction or silos. Legal identified notification obligations unprompted; HR raised employee communication considerations; Finance provided cost impact estimates without being asked.</w:t>
      </w:r>
    </w:p>
    <w:p>
      <w:pPr>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Context and Risk Impact.</w:t>
      </w:r>
      <w:r>
        <w:rPr>
          <w:rFonts w:ascii="Calibri" w:cs="Calibri" w:eastAsia="Calibri" w:hAnsi="Calibri"/>
          <w:color w:val="404040"/>
          <w:sz w:val="21"/>
          <w:szCs w:val="21"/>
        </w:rPr>
        <w:t xml:space="preserve"> Cross-departmental collaboration determines the quality and speed of organizational response. The demonstrated behavior suggests day-to-day working relationships translate effectively to crisis conditions.</w:t>
      </w:r>
    </w:p>
    <w:p>
      <w:pPr>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Recommendation.</w:t>
      </w:r>
      <w:r>
        <w:rPr>
          <w:rFonts w:ascii="Calibri" w:cs="Calibri" w:eastAsia="Calibri" w:hAnsi="Calibri"/>
          <w:color w:val="404040"/>
          <w:sz w:val="21"/>
          <w:szCs w:val="21"/>
        </w:rPr>
        <w:t xml:space="preserve"> Reinforce through continued joint exercise participation, varying scenario types to test collaboration under different conditions.</w:t>
      </w:r>
    </w:p>
    <w:p>
      <w:pPr>
        <w:pStyle w:val="Heading3"/>
        <w:keepNext/>
        <w:spacing w:after="90" w:before="200"/>
      </w:pPr>
      <w:r>
        <w:rPr>
          <w:rFonts w:ascii="Calibri" w:cs="Calibri" w:eastAsia="Calibri" w:hAnsi="Calibri"/>
          <w:b/>
          <w:bCs/>
          <w:color w:val="1F3864"/>
          <w:sz w:val="22"/>
          <w:szCs w:val="22"/>
        </w:rPr>
        <w:t xml:space="preserve">INFORMATIONAL  |  Regulatory Notification Awareness Demonstrated</w:t>
      </w:r>
    </w:p>
    <w:p>
      <w:pPr>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Observation.</w:t>
      </w:r>
      <w:r>
        <w:rPr>
          <w:rFonts w:ascii="Calibri" w:cs="Calibri" w:eastAsia="Calibri" w:hAnsi="Calibri"/>
          <w:color w:val="404040"/>
          <w:sz w:val="21"/>
          <w:szCs w:val="21"/>
        </w:rPr>
        <w:t xml:space="preserve"> When the scenario triggered potential notification obligations, participants correctly identified the applicable frameworks, timeframes, and required content, and appropriately recommended erring toward notification when scope was uncertain.</w:t>
      </w:r>
    </w:p>
    <w:p>
      <w:pPr>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Context and Risk Impact.</w:t>
      </w:r>
      <w:r>
        <w:rPr>
          <w:rFonts w:ascii="Calibri" w:cs="Calibri" w:eastAsia="Calibri" w:hAnsi="Calibri"/>
          <w:color w:val="404040"/>
          <w:sz w:val="21"/>
          <w:szCs w:val="21"/>
        </w:rPr>
        <w:t xml:space="preserve"> Regulatory awareness during response reduces notification failure risk. The instinct to err toward notification under uncertainty reflects a mature, legally conservative posture.</w:t>
      </w:r>
    </w:p>
    <w:p>
      <w:pPr>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Recommendation.</w:t>
      </w:r>
      <w:r>
        <w:rPr>
          <w:rFonts w:ascii="Calibri" w:cs="Calibri" w:eastAsia="Calibri" w:hAnsi="Calibri"/>
          <w:color w:val="404040"/>
          <w:sz w:val="21"/>
          <w:szCs w:val="21"/>
        </w:rPr>
        <w:t xml:space="preserve"> Maintain through annual compliance training updates, particularly when notification requirements change.</w:t>
      </w:r>
    </w:p>
    <w:p>
      <w:pPr>
        <w:pStyle w:val="Heading3"/>
        <w:keepNext/>
        <w:spacing w:after="90" w:before="200"/>
      </w:pPr>
      <w:r>
        <w:rPr>
          <w:rFonts w:ascii="Calibri" w:cs="Calibri" w:eastAsia="Calibri" w:hAnsi="Calibri"/>
          <w:b/>
          <w:bCs/>
          <w:color w:val="1F3864"/>
          <w:sz w:val="22"/>
          <w:szCs w:val="22"/>
        </w:rPr>
        <w:t xml:space="preserve">INFORMATIONAL  |  BC/DR Activation Steps Executed Without Hesitation</w:t>
      </w:r>
    </w:p>
    <w:p>
      <w:pPr>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Observation.</w:t>
      </w:r>
      <w:r>
        <w:rPr>
          <w:rFonts w:ascii="Calibri" w:cs="Calibri" w:eastAsia="Calibri" w:hAnsi="Calibri"/>
          <w:color w:val="404040"/>
          <w:sz w:val="21"/>
          <w:szCs w:val="21"/>
        </w:rPr>
        <w:t xml:space="preserve"> When the scenario rendered the primary facility unavailable, participants immediately referenced the business continuity plan and executed the documented activation steps in sequence, remote access active and tested within the first 20 minutes, employee notification completed via the documented backup channel.</w:t>
      </w:r>
    </w:p>
    <w:p>
      <w:pPr>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Context and Risk Impact.</w:t>
      </w:r>
      <w:r>
        <w:rPr>
          <w:rFonts w:ascii="Calibri" w:cs="Calibri" w:eastAsia="Calibri" w:hAnsi="Calibri"/>
          <w:color w:val="404040"/>
          <w:sz w:val="21"/>
          <w:szCs w:val="21"/>
        </w:rPr>
        <w:t xml:space="preserve"> The speed and confidence of activation indicates the plan is not just documented but practiced, a preparedness investment visibly producing results.</w:t>
      </w:r>
    </w:p>
    <w:p>
      <w:pPr>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Recommendation.</w:t>
      </w:r>
      <w:r>
        <w:rPr>
          <w:rFonts w:ascii="Calibri" w:cs="Calibri" w:eastAsia="Calibri" w:hAnsi="Calibri"/>
          <w:color w:val="404040"/>
          <w:sz w:val="21"/>
          <w:szCs w:val="21"/>
        </w:rPr>
        <w:t xml:space="preserve"> Maintain the current testing cadence and progressively increase exercise complexity (concurrent events, key person unavailability during activation). Record the demonstrated activation time as a baseline.</w:t>
      </w:r>
    </w:p>
    <w:p>
      <w:pPr>
        <w:pStyle w:val="Heading3"/>
        <w:keepNext/>
        <w:spacing w:after="90" w:before="200"/>
      </w:pPr>
      <w:r>
        <w:rPr>
          <w:rFonts w:ascii="Calibri" w:cs="Calibri" w:eastAsia="Calibri" w:hAnsi="Calibri"/>
          <w:b/>
          <w:bCs/>
          <w:color w:val="1F3864"/>
          <w:sz w:val="22"/>
          <w:szCs w:val="22"/>
        </w:rPr>
        <w:t xml:space="preserve">INFORMATIONAL  |  Mature Risk Acceptance Decision-Making</w:t>
      </w:r>
    </w:p>
    <w:p>
      <w:pPr>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Observation.</w:t>
      </w:r>
      <w:r>
        <w:rPr>
          <w:rFonts w:ascii="Calibri" w:cs="Calibri" w:eastAsia="Calibri" w:hAnsi="Calibri"/>
          <w:color w:val="404040"/>
          <w:sz w:val="21"/>
          <w:szCs w:val="21"/>
        </w:rPr>
        <w:t xml:space="preserve"> Facing a decision point where full remediation cost significantly exceeded the risk exposure, the executive team ran a structured risk acceptance discussion, weighing cost against probability and impact, and made a documented decision to accept residual risk with compensating controls, at the appropriate authority level.</w:t>
      </w:r>
    </w:p>
    <w:p>
      <w:pPr>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Context and Risk Impact.</w:t>
      </w:r>
      <w:r>
        <w:rPr>
          <w:rFonts w:ascii="Calibri" w:cs="Calibri" w:eastAsia="Calibri" w:hAnsi="Calibri"/>
          <w:color w:val="404040"/>
          <w:sz w:val="21"/>
          <w:szCs w:val="21"/>
        </w:rPr>
        <w:t xml:space="preserve"> Structured, documented risk acceptance is a hallmark of organizational maturity. Many organizations either ignore risk (creating undocumented shadow risk) or reflexively remediate everything regardless of cost-benefit.</w:t>
      </w:r>
    </w:p>
    <w:p>
      <w:pPr>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Recommendation.</w:t>
      </w:r>
      <w:r>
        <w:rPr>
          <w:rFonts w:ascii="Calibri" w:cs="Calibri" w:eastAsia="Calibri" w:hAnsi="Calibri"/>
          <w:color w:val="404040"/>
          <w:sz w:val="21"/>
          <w:szCs w:val="21"/>
        </w:rPr>
        <w:t xml:space="preserve"> Maintain the structured process; document and periodically revisit all acceptance decisions as conditions change.</w:t>
      </w:r>
    </w:p>
    <w:p>
      <w:pPr>
        <w:pStyle w:val="Heading1"/>
        <w:keepNext/>
        <w:spacing w:after="140" w:before="320"/>
      </w:pPr>
      <w:r>
        <w:rPr>
          <w:rFonts w:ascii="Calibri" w:cs="Calibri" w:eastAsia="Calibri" w:hAnsi="Calibri"/>
          <w:b/>
          <w:bCs/>
          <w:color w:val="1F3864"/>
          <w:sz w:val="30"/>
          <w:szCs w:val="30"/>
        </w:rPr>
        <w:t xml:space="preserve">Using This Library Effectively</w:t>
      </w:r>
    </w:p>
    <w:tbl>
      <w:tblPr>
        <w:tblW w:type="dxa" w:w="9360"/>
        <w:tblBorders>
          <w:top w:val="single" w:color="BFBFBF" w:sz="4"/>
          <w:left w:val="single" w:color="BFBFBF" w:sz="4"/>
          <w:bottom w:val="single" w:color="BFBFBF" w:sz="4"/>
          <w:right w:val="single" w:color="BFBFBF" w:sz="4"/>
          <w:insideH w:val="single" w:color="BFBFBF" w:sz="4"/>
          <w:insideV w:val="single" w:color="BFBFBF" w:sz="4"/>
        </w:tblBorders>
      </w:tblPr>
      <w:tblGrid>
        <w:gridCol w:w="3400"/>
        <w:gridCol w:w="5960"/>
      </w:tblGrid>
      <w:tr>
        <w:trPr>
          <w:tblHeader/>
        </w:trPr>
        <w:tc>
          <w:tcPr>
            <w:tcW w:type="dxa" w:w="340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If You Need...</w:t>
            </w:r>
          </w:p>
        </w:tc>
        <w:tc>
          <w:tcPr>
            <w:tcW w:type="dxa" w:w="596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Do This</w:t>
            </w:r>
          </w:p>
        </w:tc>
      </w:tr>
      <w:tr>
        <w:tc>
          <w:tcPr>
            <w:tcW w:type="dxa" w:w="34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A quality benchmark for your first AAR</w:t>
            </w:r>
          </w:p>
        </w:tc>
        <w:tc>
          <w:tcPr>
            <w:tcW w:type="dxa" w:w="59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Read 10–15 examples across severity levels to internalize the standard, then write your findings from scratch.</w:t>
            </w:r>
          </w:p>
        </w:tc>
      </w:tr>
      <w:tr>
        <w:tc>
          <w:tcPr>
            <w:tcW w:type="dxa" w:w="34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A calibration check on a specific finding</w:t>
            </w:r>
          </w:p>
        </w:tc>
        <w:tc>
          <w:tcPr>
            <w:tcW w:type="dxa" w:w="59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Find an example at the same severity in a similar scenario type and compare against the criteria in Severity and Finding Standards.</w:t>
            </w:r>
          </w:p>
        </w:tc>
      </w:tr>
      <w:tr>
        <w:tc>
          <w:tcPr>
            <w:tcW w:type="dxa" w:w="34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A peer review reference</w:t>
            </w:r>
          </w:p>
        </w:tc>
        <w:tc>
          <w:tcPr>
            <w:tcW w:type="dxa" w:w="59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Compare the finding under review against these examples for structural completeness and specificity.</w:t>
            </w:r>
          </w:p>
        </w:tc>
      </w:tr>
      <w:tr>
        <w:tc>
          <w:tcPr>
            <w:tcW w:type="dxa" w:w="34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Training material for new facilitators</w:t>
            </w:r>
          </w:p>
        </w:tc>
        <w:tc>
          <w:tcPr>
            <w:tcW w:type="dxa" w:w="59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Walk through examples in a group setting, discussing why each severity rating is appropriate.</w:t>
            </w:r>
          </w:p>
        </w:tc>
      </w:tr>
    </w:tbl>
    <w:tbl>
      <w:tblPr>
        <w:tblW w:type="dxa" w:w="9360"/>
        <w:tblBorders>
          <w:top w:val="none" w:color="FFFFFF" w:sz="0"/>
          <w:left w:val="none" w:color="FFFFFF" w:sz="0"/>
          <w:bottom w:val="none" w:color="FFFFFF" w:sz="0"/>
          <w:right w:val="none" w:color="FFFFFF" w:sz="0"/>
          <w:insideH w:val="none" w:color="FFFFFF" w:sz="0"/>
          <w:insideV w:val="none" w:color="FFFFFF" w:sz="0"/>
        </w:tblBorders>
      </w:tblPr>
      <w:tblGrid>
        <w:gridCol w:w="9360"/>
      </w:tblGrid>
      <w:tr>
        <w:tc>
          <w:tcPr>
            <w:tcW w:type="dxa" w:w="9360"/>
            <w:tcBorders>
              <w:top w:val="none" w:color="FFFFFF" w:sz="0"/>
              <w:left w:val="single" w:color="1F3864" w:sz="24"/>
              <w:bottom w:val="none" w:color="FFFFFF" w:sz="0"/>
              <w:right w:val="none" w:color="FFFFFF" w:sz="0"/>
            </w:tcBorders>
            <w:shd w:fill="EDF2F9" w:val="clear"/>
            <w:tcMar>
              <w:top w:type="dxa" w:w="100"/>
              <w:left w:type="dxa" w:w="160"/>
              <w:bottom w:type="dxa" w:w="100"/>
              <w:right w:type="dxa" w:w="160"/>
            </w:tcMar>
          </w:tcPr>
          <w:p>
            <w:pPr>
              <w:spacing w:after="60"/>
            </w:pPr>
            <w:r>
              <w:rPr>
                <w:rFonts w:ascii="Calibri" w:cs="Calibri" w:eastAsia="Calibri" w:hAnsi="Calibri"/>
                <w:b/>
                <w:bCs/>
                <w:color w:val="1F3864"/>
                <w:sz w:val="20"/>
                <w:szCs w:val="20"/>
              </w:rPr>
              <w:t xml:space="preserve">ℹ  GUIDANCE: A Living Document</w:t>
            </w:r>
          </w:p>
          <w:p>
            <w:pPr>
              <w:spacing w:after="40" w:before="0" w:line="276"/>
            </w:pPr>
            <w:r>
              <w:rPr>
                <w:rFonts w:ascii="Calibri" w:cs="Calibri" w:eastAsia="Calibri" w:hAnsi="Calibri"/>
                <w:color w:val="404040"/>
                <w:sz w:val="20"/>
                <w:szCs w:val="20"/>
              </w:rPr>
              <w:t xml:space="preserve">Add examples from your own real engagements (with all client details removed) as your practice matures. The library grows with the practice.</w:t>
            </w:r>
          </w:p>
        </w:tc>
      </w:tr>
    </w:tbl>
    <w:sectPr>
      <w:headerReference w:type="default" r:id="rId7"/>
      <w:footerReference w:type="default" r:id="rId8"/>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Calibri" w:cs="Calibri" w:eastAsia="Calibri" w:hAnsi="Calibri"/>
        <w:color w:val="595959"/>
        <w:sz w:val="17"/>
        <w:szCs w:val="17"/>
      </w:rPr>
      <w:t xml:space="preserve">v1.0  ·  Page </w:t>
    </w:r>
    <w:r>
      <w:rPr>
        <w:rFonts w:ascii="Calibri" w:cs="Calibri" w:eastAsia="Calibri" w:hAnsi="Calibri"/>
        <w:color w:val="595959"/>
        <w:sz w:val="17"/>
        <w:szCs w:val="17"/>
      </w:rPr>
      <w:fldChar w:fldCharType="begin"/>
      <w:instrText xml:space="preserve">PAGE</w:instrText>
      <w:fldChar w:fldCharType="separate"/>
      <w:fldChar w:fldCharType="end"/>
    </w:r>
    <w:r>
      <w:rPr>
        <w:rFonts w:ascii="Calibri" w:cs="Calibri" w:eastAsia="Calibri" w:hAnsi="Calibri"/>
        <w:color w:val="595959"/>
        <w:sz w:val="17"/>
        <w:szCs w:val="17"/>
      </w:rPr>
      <w:t xml:space="preserve"> of </w:t>
    </w:r>
    <w:r>
      <w:rPr>
        <w:rFonts w:ascii="Calibri" w:cs="Calibri" w:eastAsia="Calibri" w:hAnsi="Calibri"/>
        <w:color w:val="595959"/>
        <w:sz w:val="17"/>
        <w:szCs w:val="17"/>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BFBFBF" w:sz="4" w:space="3"/>
      </w:pBdr>
    </w:pPr>
    <w:r>
      <w:rPr>
        <w:rFonts w:ascii="Calibri" w:cs="Calibri" w:eastAsia="Calibri" w:hAnsi="Calibri"/>
        <w:color w:val="595959"/>
        <w:sz w:val="17"/>
        <w:szCs w:val="17"/>
      </w:rPr>
      <w:t xml:space="preserve">Business Resilience Pulse Check   |   Sample Findings Library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460" w:hanging="230"/>
      </w:pPr>
    </w:lvl>
  </w:abstractNum>
  <w:abstractNum w:abstractNumId="3" w15:restartNumberingAfterBreak="0">
    <w:multiLevelType w:val="hybridMultilevel"/>
    <w:lvl w:ilvl="0" w15:tentative="1">
      <w:start w:val="1"/>
      <w:numFmt w:val="decimal"/>
      <w:lvlText w:val="%1."/>
      <w:lvlJc w:val="left"/>
      <w:pPr>
        <w:ind w:left="460" w:hanging="320"/>
      </w:pPr>
    </w:lvl>
  </w:abstractNum>
  <w:abstractNum w:abstractNumId="4" w15:restartNumberingAfterBreak="0">
    <w:multiLevelType w:val="hybridMultilevel"/>
    <w:lvl w:ilvl="0" w15:tentative="1">
      <w:start w:val="1"/>
      <w:numFmt w:val="decimal"/>
      <w:lvlText w:val="%1."/>
      <w:lvlJc w:val="left"/>
      <w:pPr>
        <w:ind w:left="460" w:hanging="320"/>
      </w:pPr>
    </w:lvl>
  </w:abstractNum>
  <w:abstractNum w:abstractNumId="5" w15:restartNumberingAfterBreak="0">
    <w:multiLevelType w:val="hybridMultilevel"/>
    <w:lvl w:ilvl="0" w15:tentative="1">
      <w:start w:val="1"/>
      <w:numFmt w:val="decimal"/>
      <w:lvlText w:val="%1."/>
      <w:lvlJc w:val="left"/>
      <w:pPr>
        <w:ind w:left="460" w:hanging="320"/>
      </w:pPr>
    </w:lvl>
  </w:abstractNum>
  <w:abstractNum w:abstractNumId="6" w15:restartNumberingAfterBreak="0">
    <w:multiLevelType w:val="hybridMultilevel"/>
    <w:lvl w:ilvl="0" w15:tentative="1">
      <w:start w:val="1"/>
      <w:numFmt w:val="decimal"/>
      <w:lvlText w:val="%1."/>
      <w:lvlJc w:val="left"/>
      <w:pPr>
        <w:ind w:left="460" w:hanging="320"/>
      </w:pPr>
    </w:lvl>
  </w:abstractNum>
  <w:abstractNum w:abstractNumId="7" w15:restartNumberingAfterBreak="0">
    <w:multiLevelType w:val="hybridMultilevel"/>
    <w:lvl w:ilvl="0" w15:tentative="1">
      <w:start w:val="1"/>
      <w:numFmt w:val="decimal"/>
      <w:lvlText w:val="%1."/>
      <w:lvlJc w:val="left"/>
      <w:pPr>
        <w:ind w:left="460" w:hanging="320"/>
      </w:pPr>
    </w:lvl>
  </w:abstractNum>
  <w:abstractNum w:abstractNumId="8" w15:restartNumberingAfterBreak="0">
    <w:multiLevelType w:val="hybridMultilevel"/>
    <w:lvl w:ilvl="0" w15:tentative="1">
      <w:start w:val="1"/>
      <w:numFmt w:val="decimal"/>
      <w:lvlText w:val="%1."/>
      <w:lvlJc w:val="left"/>
      <w:pPr>
        <w:ind w:left="460" w:hanging="320"/>
      </w:pPr>
    </w:lvl>
  </w:abstractNum>
  <w:abstractNum w:abstractNumId="9" w15:restartNumberingAfterBreak="0">
    <w:multiLevelType w:val="hybridMultilevel"/>
    <w:lvl w:ilvl="0" w15:tentative="1">
      <w:start w:val="1"/>
      <w:numFmt w:val="decimal"/>
      <w:lvlText w:val="%1."/>
      <w:lvlJc w:val="left"/>
      <w:pPr>
        <w:ind w:left="460" w:hanging="320"/>
      </w:pPr>
    </w:lvl>
  </w:abstractNum>
  <w:abstractNum w:abstractNumId="10" w15:restartNumberingAfterBreak="0">
    <w:multiLevelType w:val="hybridMultilevel"/>
    <w:lvl w:ilvl="0" w15:tentative="1">
      <w:start w:val="1"/>
      <w:numFmt w:val="decimal"/>
      <w:lvlText w:val="%1."/>
      <w:lvlJc w:val="left"/>
      <w:pPr>
        <w:ind w:left="460" w:hanging="32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color w:val="404040"/>
        <w:sz w:val="21"/>
        <w:szCs w:val="21"/>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outlineLvl w:val="0"/>
    </w:pPr>
    <w:rPr>
      <w:rFonts w:ascii="Calibri" w:cs="Calibri" w:eastAsia="Calibri" w:hAnsi="Calibri"/>
      <w:b/>
      <w:bCs/>
      <w:color w:val="1F3864"/>
      <w:sz w:val="30"/>
      <w:szCs w:val="30"/>
    </w:rPr>
  </w:style>
  <w:style w:type="paragraph" w:styleId="Heading2">
    <w:name w:val="Heading 2"/>
    <w:basedOn w:val="Normal"/>
    <w:next w:val="Normal"/>
    <w:qFormat/>
    <w:pPr>
      <w:outlineLvl w:val="1"/>
    </w:pPr>
    <w:rPr>
      <w:rFonts w:ascii="Calibri" w:cs="Calibri" w:eastAsia="Calibri" w:hAnsi="Calibri"/>
      <w:b/>
      <w:bCs/>
      <w:color w:val="2E74B5"/>
      <w:sz w:val="25"/>
      <w:szCs w:val="25"/>
    </w:rPr>
  </w:style>
  <w:style w:type="paragraph" w:styleId="Heading3">
    <w:name w:val="Heading 3"/>
    <w:basedOn w:val="Normal"/>
    <w:next w:val="Normal"/>
    <w:qFormat/>
    <w:pPr>
      <w:outlineLvl w:val="2"/>
    </w:pPr>
    <w:rPr>
      <w:rFonts w:ascii="Calibri" w:cs="Calibri" w:eastAsia="Calibri" w:hAnsi="Calibri"/>
      <w:b/>
      <w:bCs/>
      <w:color w:val="1F3864"/>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2026-07-14T20:18:04.147Z</dcterms:created>
  <dcterms:modified xsi:type="dcterms:W3CDTF">2026-07-14T20:18:04.147Z</dcterms:modified>
</cp:coreProperties>
</file>

<file path=docProps/custom.xml><?xml version="1.0" encoding="utf-8"?>
<Properties xmlns="http://schemas.openxmlformats.org/officeDocument/2006/custom-properties" xmlns:vt="http://schemas.openxmlformats.org/officeDocument/2006/docPropsVTypes"/>
</file>